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u w:val="single"/>
        </w:rPr>
        <w:t>V2.0 (04/2016)</w:t>
      </w:r>
    </w:p>
    <w:p>
      <w:pPr>
        <w:pStyle w:val="ListParagraph"/>
        <w:spacing w:lineRule="auto" w:line="240" w:before="144" w:after="144"/>
        <w:ind w:left="0" w:right="0" w:hanging="0"/>
        <w:rPr>
          <w:rFonts w:ascii="Times New Roman" w:hAnsi="Times New Roman"/>
          <w:b w:val="false"/>
          <w:b w:val="false"/>
          <w:bCs w:val="false"/>
          <w:sz w:val="24"/>
          <w:szCs w:val="24"/>
          <w:u w:val="single"/>
        </w:rPr>
      </w:pPr>
      <w:r>
        <w:rPr>
          <w:rFonts w:eastAsia="Times New Roman"/>
          <w:b w:val="false"/>
          <w:bCs w:val="false"/>
          <w:sz w:val="24"/>
          <w:szCs w:val="24"/>
          <w:u w:val="single"/>
        </w:rPr>
        <w:t>General modifications</w:t>
      </w:r>
    </w:p>
    <w:p>
      <w:pPr>
        <w:pStyle w:val="ListParagraph"/>
        <w:numPr>
          <w:ilvl w:val="0"/>
          <w:numId w:val="2"/>
        </w:numPr>
        <w:spacing w:lineRule="auto" w:line="240" w:before="144" w:after="144"/>
        <w:rPr>
          <w:rFonts w:ascii="Times New Roman" w:hAnsi="Times New Roman"/>
          <w:sz w:val="24"/>
          <w:szCs w:val="24"/>
        </w:rPr>
      </w:pPr>
      <w:r>
        <w:rPr>
          <w:rFonts w:eastAsia="Times New Roman"/>
          <w:b/>
          <w:bCs/>
          <w:sz w:val="24"/>
          <w:szCs w:val="24"/>
          <w:highlight w:val="yellow"/>
        </w:rPr>
        <w:t>The maximum size of ALL fields of type VARCHAR has been extended to 255.</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All AMB and HOSP fields are no longer used. The AMB fields have always value TRUE, while the HOSP fields have always value FALSE.</w:t>
      </w:r>
    </w:p>
    <w:p>
      <w:pPr>
        <w:pStyle w:val="ListParagraph"/>
        <w:spacing w:lineRule="auto" w:line="240" w:before="144" w:after="144"/>
        <w:ind w:left="0" w:right="0" w:hanging="360"/>
        <w:rPr>
          <w:rFonts w:ascii="Times New Roman" w:hAnsi="Times New Roman"/>
          <w:b w:val="false"/>
          <w:b w:val="false"/>
          <w:bCs w:val="false"/>
          <w:sz w:val="24"/>
          <w:szCs w:val="24"/>
        </w:rPr>
      </w:pPr>
      <w:r>
        <w:rPr>
          <w:rFonts w:eastAsia="Times New Roman"/>
          <w:b w:val="false"/>
          <w:bCs w:val="false"/>
          <w:sz w:val="24"/>
          <w:szCs w:val="24"/>
          <w:u w:val="none"/>
        </w:rPr>
        <w:tab/>
      </w:r>
      <w:r>
        <w:rPr>
          <w:rFonts w:eastAsia="Times New Roman"/>
          <w:b w:val="false"/>
          <w:bCs w:val="false"/>
          <w:sz w:val="24"/>
          <w:szCs w:val="24"/>
          <w:u w:val="single"/>
        </w:rPr>
        <w:t>GAL table modifications</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 xml:space="preserve">The GALCV primary key (and thus foreign keys in other tables) have been attributed new values. </w:t>
      </w:r>
      <w:r>
        <w:rPr>
          <w:rFonts w:eastAsia="Times New Roman"/>
          <w:b/>
          <w:bCs/>
          <w:sz w:val="24"/>
          <w:szCs w:val="24"/>
          <w:highlight w:val="yellow"/>
        </w:rPr>
        <w:t>The values for this primary key will however change in each export</w:t>
      </w:r>
      <w:r>
        <w:rPr>
          <w:rFonts w:eastAsia="Times New Roman"/>
          <w:b/>
          <w:bCs/>
          <w:sz w:val="24"/>
          <w:szCs w:val="24"/>
        </w:rPr>
        <w:t>.</w:t>
      </w:r>
      <w:r>
        <w:rPr>
          <w:rFonts w:eastAsia="Times New Roman"/>
          <w:b w:val="false"/>
          <w:bCs w:val="false"/>
          <w:sz w:val="24"/>
          <w:szCs w:val="24"/>
        </w:rPr>
        <w:t xml:space="preserve"> Referential integrity between this table and the linked tables is obviously guaranteed, but no foreign keys from external tables should ever refer to this primary key as its values will change with each export.</w:t>
        <w:br/>
        <w:t>These new 'galenic terms' are constructed automatically based on several fields such as route of administration, pharmaceutical form, etc., therefore there is no fixed primary key value for each galenic term.</w:t>
      </w:r>
    </w:p>
    <w:p>
      <w:pPr>
        <w:pStyle w:val="ListParagraph"/>
        <w:spacing w:lineRule="auto" w:line="240" w:before="144" w:after="144"/>
        <w:ind w:left="0" w:right="0" w:hanging="0"/>
        <w:rPr>
          <w:rFonts w:ascii="Times New Roman" w:hAnsi="Times New Roman"/>
          <w:b w:val="false"/>
          <w:b w:val="false"/>
          <w:bCs w:val="false"/>
          <w:sz w:val="24"/>
          <w:szCs w:val="24"/>
        </w:rPr>
      </w:pPr>
      <w:r>
        <w:rPr>
          <w:rFonts w:eastAsia="Times New Roman"/>
          <w:b w:val="false"/>
          <w:bCs w:val="false"/>
          <w:sz w:val="24"/>
          <w:szCs w:val="24"/>
          <w:u w:val="single"/>
        </w:rPr>
        <w:t>GGR_LINK table modifications</w:t>
      </w:r>
    </w:p>
    <w:p>
      <w:pPr>
        <w:pStyle w:val="ListParagraph"/>
        <w:numPr>
          <w:ilvl w:val="0"/>
          <w:numId w:val="2"/>
        </w:numPr>
        <w:spacing w:lineRule="auto" w:line="240" w:before="144" w:after="144"/>
        <w:rPr>
          <w:rFonts w:ascii="Times New Roman" w:hAnsi="Times New Roman"/>
          <w:sz w:val="24"/>
          <w:szCs w:val="24"/>
          <w:highlight w:val="yellow"/>
        </w:rPr>
      </w:pPr>
      <w:r>
        <w:rPr>
          <w:rFonts w:eastAsia="Times New Roman"/>
          <w:sz w:val="24"/>
          <w:szCs w:val="24"/>
          <w:highlight w:val="yellow"/>
        </w:rPr>
        <w:t xml:space="preserve">The fields LINK2MPG and LINK2PVT contain from now on the </w:t>
      </w:r>
      <w:r>
        <w:rPr>
          <w:rFonts w:eastAsia="Times New Roman"/>
          <w:b/>
          <w:bCs/>
          <w:sz w:val="24"/>
          <w:szCs w:val="24"/>
          <w:highlight w:val="yellow"/>
        </w:rPr>
        <w:t>full</w:t>
      </w:r>
      <w:r>
        <w:rPr>
          <w:rFonts w:eastAsia="Times New Roman"/>
          <w:sz w:val="24"/>
          <w:szCs w:val="24"/>
          <w:highlight w:val="yellow"/>
        </w:rPr>
        <w:t xml:space="preserve"> URLs to our website.</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Directly linking to packages on our website is also possible using the CTI-extended (not present in this export) or CNK code (present in this export):</w:t>
      </w:r>
    </w:p>
    <w:p>
      <w:pPr>
        <w:pStyle w:val="ListParagraph"/>
        <w:numPr>
          <w:ilvl w:val="1"/>
          <w:numId w:val="2"/>
        </w:numPr>
        <w:spacing w:lineRule="auto" w:line="240" w:before="144" w:after="144"/>
        <w:rPr>
          <w:rFonts w:ascii="Times New Roman" w:hAnsi="Times New Roman"/>
          <w:sz w:val="24"/>
          <w:szCs w:val="24"/>
        </w:rPr>
      </w:pPr>
      <w:r>
        <w:rPr>
          <w:rFonts w:eastAsia="Times New Roman"/>
          <w:sz w:val="24"/>
          <w:szCs w:val="24"/>
        </w:rPr>
        <w:t xml:space="preserve">using the CTI-extended that belongs to the package, e.g. </w:t>
      </w:r>
      <w:r>
        <w:rPr>
          <w:rFonts w:eastAsia="Times New Roman"/>
          <w:i/>
          <w:iCs/>
          <w:sz w:val="24"/>
          <w:szCs w:val="24"/>
        </w:rPr>
        <w:t xml:space="preserve">099574-02 </w:t>
      </w:r>
      <w:r>
        <w:rPr>
          <w:rFonts w:eastAsia="Times New Roman"/>
          <w:i w:val="false"/>
          <w:iCs w:val="false"/>
          <w:sz w:val="24"/>
          <w:szCs w:val="24"/>
        </w:rPr>
        <w:t>(always 8 digits, the first 6 digits and last 2 digits are always separated by a dash)</w:t>
      </w:r>
    </w:p>
    <w:p>
      <w:pPr>
        <w:pStyle w:val="ListParagraph"/>
        <w:numPr>
          <w:ilvl w:val="2"/>
          <w:numId w:val="2"/>
        </w:numPr>
        <w:spacing w:lineRule="auto" w:line="240" w:before="144" w:after="144"/>
        <w:rPr/>
      </w:pPr>
      <w:r>
        <w:rPr>
          <w:rFonts w:eastAsia="Times New Roman"/>
          <w:sz w:val="24"/>
          <w:szCs w:val="24"/>
        </w:rPr>
        <w:t xml:space="preserve">NL (trade name view): </w:t>
      </w:r>
      <w:hyperlink r:id="rId2">
        <w:r>
          <w:rPr>
            <w:rStyle w:val="InternetLink"/>
            <w:rFonts w:eastAsia="Times New Roman"/>
            <w:sz w:val="24"/>
            <w:szCs w:val="24"/>
          </w:rPr>
          <w:t>http://www.bcfi.be/nl/contents/jump?ctiext=</w:t>
        </w:r>
      </w:hyperlink>
      <w:hyperlink r:id="rId3">
        <w:r>
          <w:rPr>
            <w:rStyle w:val="InternetLink"/>
            <w:rFonts w:eastAsia="Times New Roman"/>
            <w:i/>
            <w:iCs/>
            <w:sz w:val="24"/>
            <w:szCs w:val="24"/>
          </w:rPr>
          <w:t>099574-02</w:t>
        </w:r>
      </w:hyperlink>
    </w:p>
    <w:p>
      <w:pPr>
        <w:pStyle w:val="ListParagraph"/>
        <w:numPr>
          <w:ilvl w:val="2"/>
          <w:numId w:val="2"/>
        </w:numPr>
        <w:spacing w:lineRule="auto" w:line="240" w:before="144" w:after="144"/>
        <w:rPr/>
      </w:pPr>
      <w:r>
        <w:rPr>
          <w:rFonts w:eastAsia="Times New Roman"/>
          <w:sz w:val="24"/>
          <w:szCs w:val="24"/>
        </w:rPr>
        <w:t xml:space="preserve">FR (trade name view): </w:t>
      </w:r>
      <w:hyperlink r:id="rId4">
        <w:r>
          <w:rPr>
            <w:rStyle w:val="InternetLink"/>
            <w:rFonts w:eastAsia="Times New Roman"/>
            <w:sz w:val="24"/>
            <w:szCs w:val="24"/>
          </w:rPr>
          <w:t>http://www.cbip.be/fr/contents/jump?ctiext=</w:t>
        </w:r>
      </w:hyperlink>
      <w:hyperlink r:id="rId5">
        <w:r>
          <w:rPr>
            <w:rStyle w:val="InternetLink"/>
            <w:rFonts w:eastAsia="Times New Roman"/>
            <w:i/>
            <w:iCs/>
            <w:sz w:val="24"/>
            <w:szCs w:val="24"/>
          </w:rPr>
          <w:t>099574-02</w:t>
        </w:r>
      </w:hyperlink>
    </w:p>
    <w:p>
      <w:pPr>
        <w:pStyle w:val="ListParagraph"/>
        <w:numPr>
          <w:ilvl w:val="2"/>
          <w:numId w:val="2"/>
        </w:numPr>
        <w:spacing w:lineRule="auto" w:line="240" w:before="144" w:after="144"/>
        <w:rPr/>
      </w:pPr>
      <w:r>
        <w:rPr>
          <w:rFonts w:eastAsia="Times New Roman"/>
          <w:sz w:val="24"/>
          <w:szCs w:val="24"/>
        </w:rPr>
        <w:t xml:space="preserve">NL (group / price comparison view): </w:t>
      </w:r>
      <w:hyperlink r:id="rId6">
        <w:r>
          <w:rPr>
            <w:rStyle w:val="InternetLink"/>
            <w:rFonts w:eastAsia="Times New Roman"/>
            <w:sz w:val="24"/>
            <w:szCs w:val="24"/>
          </w:rPr>
          <w:t>http://www.bcfi.be/nl/contents/jump?ctiext=</w:t>
        </w:r>
      </w:hyperlink>
      <w:hyperlink r:id="rId7">
        <w:r>
          <w:rPr>
            <w:rStyle w:val="InternetLink"/>
            <w:rFonts w:eastAsia="Times New Roman"/>
            <w:i/>
            <w:iCs/>
            <w:sz w:val="24"/>
            <w:szCs w:val="24"/>
          </w:rPr>
          <w:t>099574-02</w:t>
        </w:r>
      </w:hyperlink>
      <w:hyperlink r:id="rId8">
        <w:r>
          <w:rPr>
            <w:rStyle w:val="InternetLink"/>
            <w:rFonts w:eastAsia="Times New Roman"/>
            <w:sz w:val="24"/>
            <w:szCs w:val="24"/>
          </w:rPr>
          <w:t>&amp;view=pvt</w:t>
        </w:r>
      </w:hyperlink>
    </w:p>
    <w:p>
      <w:pPr>
        <w:pStyle w:val="ListParagraph"/>
        <w:numPr>
          <w:ilvl w:val="2"/>
          <w:numId w:val="2"/>
        </w:numPr>
        <w:spacing w:lineRule="auto" w:line="240" w:before="144" w:after="144"/>
        <w:rPr/>
      </w:pPr>
      <w:r>
        <w:rPr>
          <w:rFonts w:eastAsia="Times New Roman"/>
          <w:sz w:val="24"/>
          <w:szCs w:val="24"/>
        </w:rPr>
        <w:t xml:space="preserve">FR (group / price comparison view): </w:t>
      </w:r>
      <w:hyperlink r:id="rId9">
        <w:r>
          <w:rPr>
            <w:rStyle w:val="InternetLink"/>
            <w:rFonts w:eastAsia="Times New Roman"/>
            <w:sz w:val="24"/>
            <w:szCs w:val="24"/>
          </w:rPr>
          <w:t>http://www.cbip.be/fr/contents/jump?ctiext=</w:t>
        </w:r>
      </w:hyperlink>
      <w:hyperlink r:id="rId10">
        <w:r>
          <w:rPr>
            <w:rStyle w:val="InternetLink"/>
            <w:rFonts w:eastAsia="Times New Roman"/>
            <w:i/>
            <w:iCs/>
            <w:sz w:val="24"/>
            <w:szCs w:val="24"/>
          </w:rPr>
          <w:t>099574-02</w:t>
        </w:r>
      </w:hyperlink>
      <w:hyperlink r:id="rId11">
        <w:r>
          <w:rPr>
            <w:rStyle w:val="InternetLink"/>
            <w:rFonts w:eastAsia="Times New Roman"/>
            <w:sz w:val="24"/>
            <w:szCs w:val="24"/>
          </w:rPr>
          <w:t>&amp;view=pvt</w:t>
        </w:r>
      </w:hyperlink>
    </w:p>
    <w:p>
      <w:pPr>
        <w:pStyle w:val="ListParagraph"/>
        <w:numPr>
          <w:ilvl w:val="1"/>
          <w:numId w:val="2"/>
        </w:numPr>
        <w:spacing w:lineRule="auto" w:line="240" w:before="144" w:after="144"/>
        <w:rPr>
          <w:rFonts w:ascii="Times New Roman" w:hAnsi="Times New Roman"/>
          <w:sz w:val="24"/>
          <w:szCs w:val="24"/>
        </w:rPr>
      </w:pPr>
      <w:r>
        <w:rPr>
          <w:rFonts w:eastAsia="Times New Roman"/>
          <w:sz w:val="24"/>
          <w:szCs w:val="24"/>
        </w:rPr>
        <w:t xml:space="preserve">using the public CNK that belongs to the package, e.g. </w:t>
      </w:r>
      <w:r>
        <w:rPr>
          <w:rFonts w:eastAsia="Times New Roman"/>
          <w:i/>
          <w:iCs/>
          <w:sz w:val="24"/>
          <w:szCs w:val="24"/>
        </w:rPr>
        <w:t xml:space="preserve">0057257 </w:t>
      </w:r>
      <w:r>
        <w:rPr>
          <w:rFonts w:eastAsia="Times New Roman"/>
          <w:i w:val="false"/>
          <w:iCs w:val="false"/>
          <w:sz w:val="24"/>
          <w:szCs w:val="24"/>
        </w:rPr>
        <w:t>(always 7 digits)</w:t>
      </w:r>
    </w:p>
    <w:p>
      <w:pPr>
        <w:pStyle w:val="ListParagraph"/>
        <w:numPr>
          <w:ilvl w:val="2"/>
          <w:numId w:val="2"/>
        </w:numPr>
        <w:spacing w:lineRule="auto" w:line="240" w:before="144" w:after="144"/>
        <w:rPr/>
      </w:pPr>
      <w:r>
        <w:rPr>
          <w:rFonts w:eastAsia="Times New Roman"/>
          <w:sz w:val="24"/>
          <w:szCs w:val="24"/>
        </w:rPr>
        <w:t xml:space="preserve">NL (trade name view): </w:t>
      </w:r>
      <w:hyperlink r:id="rId12">
        <w:r>
          <w:rPr>
            <w:rStyle w:val="InternetLink"/>
            <w:rFonts w:eastAsia="Times New Roman"/>
            <w:sz w:val="24"/>
            <w:szCs w:val="24"/>
          </w:rPr>
          <w:t>http://www.bcfi.be/nl/contents/jump?cnk=</w:t>
        </w:r>
      </w:hyperlink>
      <w:hyperlink r:id="rId13">
        <w:r>
          <w:rPr>
            <w:rStyle w:val="InternetLink"/>
            <w:rFonts w:eastAsia="Times New Roman"/>
            <w:i/>
            <w:iCs/>
            <w:sz w:val="24"/>
            <w:szCs w:val="24"/>
          </w:rPr>
          <w:t>0057257</w:t>
        </w:r>
      </w:hyperlink>
    </w:p>
    <w:p>
      <w:pPr>
        <w:pStyle w:val="ListParagraph"/>
        <w:numPr>
          <w:ilvl w:val="2"/>
          <w:numId w:val="2"/>
        </w:numPr>
        <w:spacing w:lineRule="auto" w:line="240" w:before="144" w:after="144"/>
        <w:rPr/>
      </w:pPr>
      <w:r>
        <w:rPr>
          <w:rFonts w:eastAsia="Times New Roman"/>
          <w:sz w:val="24"/>
          <w:szCs w:val="24"/>
        </w:rPr>
        <w:t xml:space="preserve">FR (trade name view): </w:t>
      </w:r>
      <w:hyperlink r:id="rId14">
        <w:r>
          <w:rPr>
            <w:rStyle w:val="InternetLink"/>
            <w:rFonts w:eastAsia="Times New Roman"/>
            <w:sz w:val="24"/>
            <w:szCs w:val="24"/>
          </w:rPr>
          <w:t>http://www.cbip.be/fr/contents/jump?cnk=</w:t>
        </w:r>
      </w:hyperlink>
      <w:hyperlink r:id="rId15">
        <w:r>
          <w:rPr>
            <w:rStyle w:val="InternetLink"/>
            <w:rFonts w:eastAsia="Times New Roman"/>
            <w:i/>
            <w:iCs/>
            <w:sz w:val="24"/>
            <w:szCs w:val="24"/>
          </w:rPr>
          <w:t>0057257</w:t>
        </w:r>
      </w:hyperlink>
    </w:p>
    <w:p>
      <w:pPr>
        <w:pStyle w:val="ListParagraph"/>
        <w:numPr>
          <w:ilvl w:val="2"/>
          <w:numId w:val="2"/>
        </w:numPr>
        <w:spacing w:lineRule="auto" w:line="240" w:before="144" w:after="144"/>
        <w:rPr/>
      </w:pPr>
      <w:r>
        <w:rPr>
          <w:rFonts w:eastAsia="Times New Roman"/>
          <w:sz w:val="24"/>
          <w:szCs w:val="24"/>
        </w:rPr>
        <w:t xml:space="preserve">NL (group / price comparison view): </w:t>
      </w:r>
      <w:hyperlink r:id="rId16">
        <w:r>
          <w:rPr>
            <w:rStyle w:val="InternetLink"/>
            <w:rFonts w:eastAsia="Times New Roman"/>
            <w:sz w:val="24"/>
            <w:szCs w:val="24"/>
          </w:rPr>
          <w:t>http://www.bcfi.be/nl/contents/jump?cnk=</w:t>
        </w:r>
      </w:hyperlink>
      <w:hyperlink r:id="rId17">
        <w:r>
          <w:rPr>
            <w:rStyle w:val="InternetLink"/>
            <w:rFonts w:eastAsia="Times New Roman"/>
            <w:i/>
            <w:iCs/>
            <w:sz w:val="24"/>
            <w:szCs w:val="24"/>
          </w:rPr>
          <w:t>0057257</w:t>
        </w:r>
      </w:hyperlink>
      <w:hyperlink r:id="rId18">
        <w:r>
          <w:rPr>
            <w:rStyle w:val="InternetLink"/>
            <w:rFonts w:eastAsia="Times New Roman"/>
            <w:sz w:val="24"/>
            <w:szCs w:val="24"/>
          </w:rPr>
          <w:t>&amp;view=pvt</w:t>
        </w:r>
      </w:hyperlink>
    </w:p>
    <w:p>
      <w:pPr>
        <w:pStyle w:val="ListParagraph"/>
        <w:numPr>
          <w:ilvl w:val="2"/>
          <w:numId w:val="2"/>
        </w:numPr>
        <w:spacing w:lineRule="auto" w:line="240" w:before="144" w:after="144"/>
        <w:rPr>
          <w:rFonts w:ascii="Times New Roman" w:hAnsi="Times New Roman"/>
          <w:sz w:val="24"/>
          <w:szCs w:val="24"/>
        </w:rPr>
      </w:pPr>
      <w:r>
        <w:rPr>
          <w:rFonts w:eastAsia="Times New Roman"/>
          <w:sz w:val="24"/>
          <w:szCs w:val="24"/>
        </w:rPr>
        <w:t>FR (group / price comparison view): http://www.cbip.be/fr/contents/jump?cnk=</w:t>
      </w:r>
      <w:r>
        <w:rPr>
          <w:rFonts w:eastAsia="Times New Roman"/>
          <w:i/>
          <w:iCs/>
          <w:sz w:val="24"/>
          <w:szCs w:val="24"/>
        </w:rPr>
        <w:t>0057257</w:t>
      </w:r>
      <w:r>
        <w:rPr>
          <w:rFonts w:eastAsia="Times New Roman"/>
          <w:sz w:val="24"/>
          <w:szCs w:val="24"/>
        </w:rPr>
        <w:t>&amp;view=pvt</w:t>
      </w:r>
    </w:p>
    <w:p>
      <w:pPr>
        <w:pStyle w:val="ListParagraph"/>
        <w:spacing w:lineRule="auto" w:line="240" w:before="144" w:after="144"/>
        <w:ind w:left="0" w:right="0" w:hanging="0"/>
        <w:rPr>
          <w:rFonts w:ascii="Times New Roman" w:hAnsi="Times New Roman"/>
          <w:b w:val="false"/>
          <w:b w:val="false"/>
          <w:bCs w:val="false"/>
          <w:sz w:val="24"/>
          <w:szCs w:val="24"/>
        </w:rPr>
      </w:pPr>
      <w:r>
        <w:rPr>
          <w:rFonts w:eastAsia="Times New Roman"/>
          <w:b w:val="false"/>
          <w:bCs w:val="false"/>
          <w:sz w:val="24"/>
          <w:szCs w:val="24"/>
          <w:u w:val="single"/>
        </w:rPr>
        <w:t>HYR table modifications</w:t>
      </w:r>
    </w:p>
    <w:p>
      <w:pPr>
        <w:pStyle w:val="ListParagraph"/>
        <w:numPr>
          <w:ilvl w:val="0"/>
          <w:numId w:val="2"/>
        </w:numPr>
        <w:spacing w:lineRule="auto" w:line="240" w:before="144" w:after="144"/>
        <w:rPr>
          <w:rFonts w:ascii="Times New Roman" w:hAnsi="Times New Roman"/>
          <w:sz w:val="24"/>
          <w:szCs w:val="24"/>
          <w:u w:val="none"/>
        </w:rPr>
      </w:pPr>
      <w:r>
        <w:rPr>
          <w:rFonts w:eastAsia="Times New Roman"/>
          <w:b w:val="false"/>
          <w:bCs w:val="false"/>
          <w:sz w:val="24"/>
          <w:szCs w:val="24"/>
          <w:u w:val="none"/>
        </w:rPr>
        <w:t>The HYRCV primary key (and thus foreign keys in other tables) have been attributed new values. These new values, however, will remain stable in future.</w:t>
      </w:r>
    </w:p>
    <w:p>
      <w:pPr>
        <w:pStyle w:val="ListParagraph"/>
        <w:numPr>
          <w:ilvl w:val="0"/>
          <w:numId w:val="2"/>
        </w:numPr>
        <w:spacing w:lineRule="auto" w:line="240" w:before="144" w:after="144"/>
        <w:rPr/>
      </w:pPr>
      <w:r>
        <w:rPr>
          <w:rFonts w:eastAsia="Times New Roman"/>
          <w:b w:val="false"/>
          <w:bCs w:val="false"/>
          <w:sz w:val="24"/>
          <w:szCs w:val="24"/>
          <w:u w:val="none"/>
        </w:rPr>
        <w:t>The textual contents of the Gecommentarieerd Geneesmiddelen Repertorium / Répertoire Commenté des Médicaments (</w:t>
      </w:r>
      <w:r>
        <w:rPr>
          <w:rFonts w:eastAsia="Times New Roman" w:cs="Times New Roman"/>
          <w:b w:val="false"/>
          <w:bCs w:val="false"/>
          <w:color w:val="00000A"/>
          <w:sz w:val="24"/>
          <w:szCs w:val="24"/>
          <w:u w:val="none"/>
          <w:lang w:val="en-US" w:eastAsia="en-US" w:bidi="en-US"/>
        </w:rPr>
        <w:t>i.e. the intro and pos fields)</w:t>
      </w:r>
      <w:r>
        <w:rPr>
          <w:rFonts w:eastAsia="Times New Roman"/>
          <w:b w:val="false"/>
          <w:bCs w:val="false"/>
          <w:sz w:val="24"/>
          <w:szCs w:val="24"/>
          <w:u w:val="none"/>
        </w:rPr>
        <w:t xml:space="preserve"> are now included in the so-called Markdown format. This format is suited to be readable as plain text and easily convertible towards HTML. For more information, we refer to </w:t>
      </w:r>
      <w:hyperlink r:id="rId19">
        <w:r>
          <w:rPr>
            <w:rStyle w:val="InternetLink"/>
            <w:rFonts w:eastAsia="Times New Roman"/>
            <w:b w:val="false"/>
            <w:bCs w:val="false"/>
            <w:sz w:val="24"/>
            <w:szCs w:val="24"/>
            <w:u w:val="none"/>
          </w:rPr>
          <w:t>https://daringfireball.net/projects/markdown/syntax</w:t>
        </w:r>
      </w:hyperlink>
      <w:r>
        <w:rPr>
          <w:rFonts w:eastAsia="Times New Roman"/>
          <w:b w:val="false"/>
          <w:bCs w:val="false"/>
          <w:sz w:val="24"/>
          <w:szCs w:val="24"/>
          <w:u w:val="none"/>
        </w:rPr>
        <w:t xml:space="preserve"> and http://dillinger.io/</w:t>
      </w:r>
    </w:p>
    <w:p>
      <w:pPr>
        <w:pStyle w:val="ListParagraph"/>
        <w:spacing w:lineRule="auto" w:line="240" w:before="144" w:after="144"/>
        <w:ind w:left="0" w:right="0" w:hanging="0"/>
        <w:rPr>
          <w:rFonts w:ascii="Times New Roman" w:hAnsi="Times New Roman"/>
          <w:b w:val="false"/>
          <w:b w:val="false"/>
          <w:bCs w:val="false"/>
          <w:sz w:val="24"/>
          <w:szCs w:val="24"/>
        </w:rPr>
      </w:pPr>
      <w:r>
        <w:rPr>
          <w:rFonts w:eastAsia="Times New Roman"/>
          <w:b w:val="false"/>
          <w:bCs w:val="false"/>
          <w:sz w:val="24"/>
          <w:szCs w:val="24"/>
          <w:u w:val="single"/>
        </w:rPr>
        <w:t>INNM table modifications</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The STOFCV primary key (and thus foreign keys in other tables) have been attributed new values. These new values, however, will remain stable in future.</w:t>
      </w:r>
    </w:p>
    <w:p>
      <w:pPr>
        <w:pStyle w:val="ListParagraph"/>
        <w:spacing w:lineRule="auto" w:line="240" w:before="144" w:after="144"/>
        <w:ind w:left="0" w:right="0" w:hanging="0"/>
        <w:rPr>
          <w:rFonts w:ascii="Times New Roman" w:hAnsi="Times New Roman"/>
          <w:b w:val="false"/>
          <w:b w:val="false"/>
          <w:bCs w:val="false"/>
          <w:sz w:val="24"/>
          <w:szCs w:val="24"/>
        </w:rPr>
      </w:pPr>
      <w:r>
        <w:rPr>
          <w:rFonts w:eastAsia="Times New Roman"/>
          <w:b w:val="false"/>
          <w:bCs w:val="false"/>
          <w:sz w:val="24"/>
          <w:szCs w:val="24"/>
          <w:u w:val="single"/>
        </w:rPr>
        <w:t>MP table modifications</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The MPCV primary key (and thus foreign keys in other tables) have been attributed new values. These new values, however, will remain stable in future.</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The RANK field is no longer used. It's value is always set to false.</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The NOTE and POS fields are no longer used. Their value is always empty. For notes we refer to the MPP table. All notes are from now on specified in the MPP table.</w:t>
      </w:r>
    </w:p>
    <w:p>
      <w:pPr>
        <w:pStyle w:val="ListParagraph"/>
        <w:numPr>
          <w:ilvl w:val="0"/>
          <w:numId w:val="2"/>
        </w:numPr>
        <w:spacing w:lineRule="auto" w:line="240" w:before="144" w:after="144"/>
        <w:rPr>
          <w:rFonts w:ascii="Times New Roman" w:hAnsi="Times New Roman"/>
          <w:sz w:val="24"/>
          <w:szCs w:val="24"/>
        </w:rPr>
      </w:pPr>
      <w:r>
        <w:rPr>
          <w:rFonts w:eastAsia="Times New Roman"/>
          <w:sz w:val="24"/>
          <w:szCs w:val="24"/>
        </w:rPr>
        <w:t>It is possible that multiple WADA codes delimited by commas are specified in the WADAN and WADAF fields, as multiple WADA codes can be attributed to the same MP.</w:t>
      </w:r>
    </w:p>
    <w:p>
      <w:pPr>
        <w:pStyle w:val="ListParagraph"/>
        <w:spacing w:lineRule="auto" w:line="240" w:before="144" w:after="144"/>
        <w:ind w:left="0" w:right="0" w:hanging="0"/>
        <w:rPr>
          <w:rFonts w:ascii="Times New Roman" w:hAnsi="Times New Roman"/>
          <w:b w:val="false"/>
          <w:b w:val="false"/>
          <w:bCs w:val="false"/>
          <w:sz w:val="24"/>
          <w:szCs w:val="24"/>
          <w:u w:val="single"/>
        </w:rPr>
      </w:pPr>
      <w:r>
        <w:rPr>
          <w:rFonts w:eastAsia="Times New Roman"/>
          <w:b w:val="false"/>
          <w:bCs w:val="false"/>
          <w:sz w:val="24"/>
          <w:szCs w:val="24"/>
          <w:u w:val="single"/>
        </w:rPr>
        <w:t>MPP table modifications</w:t>
      </w:r>
    </w:p>
    <w:p>
      <w:pPr>
        <w:pStyle w:val="ListParagraph"/>
        <w:numPr>
          <w:ilvl w:val="1"/>
          <w:numId w:val="2"/>
        </w:numPr>
        <w:spacing w:lineRule="auto" w:line="240" w:before="144" w:after="144"/>
        <w:rPr>
          <w:rFonts w:ascii="Times New Roman" w:hAnsi="Times New Roman"/>
          <w:sz w:val="24"/>
          <w:szCs w:val="24"/>
        </w:rPr>
      </w:pPr>
      <w:r>
        <w:rPr>
          <w:rFonts w:eastAsia="Times New Roman"/>
          <w:sz w:val="24"/>
          <w:szCs w:val="24"/>
        </w:rPr>
        <w:t>The VOLGNR, SPEF, CONTENT and EXCIP fields are no longer used. They are always left empty.</w:t>
      </w:r>
    </w:p>
    <w:p>
      <w:pPr>
        <w:pStyle w:val="ListParagraph"/>
        <w:numPr>
          <w:ilvl w:val="1"/>
          <w:numId w:val="2"/>
        </w:numPr>
        <w:spacing w:lineRule="auto" w:line="240" w:before="144" w:after="144"/>
        <w:rPr>
          <w:rFonts w:ascii="Times New Roman" w:hAnsi="Times New Roman"/>
          <w:sz w:val="24"/>
          <w:szCs w:val="24"/>
        </w:rPr>
      </w:pPr>
      <w:r>
        <w:rPr>
          <w:rFonts w:eastAsia="Times New Roman"/>
          <w:sz w:val="24"/>
          <w:szCs w:val="24"/>
        </w:rPr>
        <w:t>The SSECR field has now the following definition:</w:t>
      </w:r>
    </w:p>
    <w:p>
      <w:pPr>
        <w:pStyle w:val="Normal"/>
        <w:numPr>
          <w:ilvl w:val="2"/>
          <w:numId w:val="2"/>
        </w:numPr>
        <w:spacing w:lineRule="auto" w:line="240" w:before="144" w:after="144"/>
        <w:rPr/>
      </w:pPr>
      <w:r>
        <w:rPr>
          <w:rStyle w:val="IntenseReference"/>
          <w:rFonts w:eastAsia="Droid Sans Fallback" w:ascii="Times New Roman" w:hAnsi="Times New Roman"/>
          <w:i w:val="false"/>
          <w:iCs w:val="false"/>
          <w:sz w:val="24"/>
          <w:szCs w:val="24"/>
        </w:rPr>
        <w:t>Reimbursement categories are represented by values separated by a space (eg. "a4 b4 c4") in case multiple categories are applicable.</w:t>
      </w:r>
    </w:p>
    <w:p>
      <w:pPr>
        <w:pStyle w:val="NormalWeb"/>
        <w:numPr>
          <w:ilvl w:val="3"/>
          <w:numId w:val="2"/>
        </w:numPr>
        <w:spacing w:lineRule="auto" w:line="240" w:before="144" w:after="144"/>
        <w:rPr/>
      </w:pPr>
      <w:r>
        <w:rPr>
          <w:rStyle w:val="IntenseReference"/>
          <w:rFonts w:eastAsia="Droid Sans Fallback" w:ascii="Times New Roman" w:hAnsi="Times New Roman"/>
          <w:i w:val="false"/>
          <w:iCs w:val="false"/>
          <w:sz w:val="24"/>
          <w:szCs w:val="24"/>
        </w:rPr>
        <w:t>the values a, b, c, cx and cs represent the resp. reimbursement categories</w:t>
      </w:r>
    </w:p>
    <w:p>
      <w:pPr>
        <w:pStyle w:val="NormalWeb"/>
        <w:numPr>
          <w:ilvl w:val="3"/>
          <w:numId w:val="2"/>
        </w:numPr>
        <w:spacing w:lineRule="auto" w:line="240" w:before="144" w:after="144"/>
        <w:rPr/>
      </w:pPr>
      <w:bookmarkStart w:id="0" w:name="__DdeLink__2405_1320004386"/>
      <w:r>
        <w:rPr>
          <w:rStyle w:val="IntenseReference"/>
          <w:rFonts w:eastAsia="Droid Sans Fallback" w:ascii="Times New Roman" w:hAnsi="Times New Roman"/>
          <w:i w:val="false"/>
          <w:iCs w:val="false"/>
          <w:sz w:val="24"/>
          <w:szCs w:val="24"/>
        </w:rPr>
        <w:t>the values b2 and c2 represent a posteriori control (for so-called chapter 2 drugs) in resp. category b and c (without prior approval of the advising practitioner, but with the possibility of a posteriori control)</w:t>
      </w:r>
    </w:p>
    <w:p>
      <w:pPr>
        <w:pStyle w:val="NormalWeb"/>
        <w:numPr>
          <w:ilvl w:val="3"/>
          <w:numId w:val="2"/>
        </w:numPr>
        <w:spacing w:lineRule="auto" w:line="240" w:before="144" w:after="144"/>
        <w:rPr/>
      </w:pPr>
      <w:bookmarkStart w:id="1" w:name="__DdeLink__2405_1320004386"/>
      <w:r>
        <w:rPr>
          <w:rStyle w:val="IntenseReference"/>
          <w:rFonts w:eastAsia="Droid Sans Fallback" w:ascii="Times New Roman" w:hAnsi="Times New Roman"/>
          <w:i w:val="false"/>
          <w:iCs w:val="false"/>
          <w:sz w:val="24"/>
          <w:szCs w:val="24"/>
        </w:rPr>
        <w:t>the values a4, b4, c4 en cs4 represent a priori</w:t>
      </w:r>
      <w:bookmarkEnd w:id="1"/>
      <w:r>
        <w:rPr>
          <w:rStyle w:val="IntenseReference"/>
          <w:rFonts w:eastAsia="Droid Sans Fallback" w:ascii="Times New Roman" w:hAnsi="Times New Roman"/>
          <w:i w:val="false"/>
          <w:iCs w:val="false"/>
          <w:sz w:val="24"/>
          <w:szCs w:val="24"/>
        </w:rPr>
        <w:t xml:space="preserve"> control (for so-called chapter 4 drugs) in resp. category a, b, c and cs (only reimbursed after agreement by the advising practitioner of the insurance institution)</w:t>
      </w:r>
    </w:p>
    <w:p>
      <w:pPr>
        <w:pStyle w:val="NormalWeb"/>
        <w:numPr>
          <w:ilvl w:val="3"/>
          <w:numId w:val="2"/>
        </w:numPr>
        <w:spacing w:lineRule="auto" w:line="240" w:before="144" w:after="144"/>
        <w:rPr/>
      </w:pPr>
      <w:r>
        <w:rPr>
          <w:rStyle w:val="IntenseReference"/>
          <w:rFonts w:eastAsia="Droid Sans Fallback" w:ascii="Times New Roman" w:hAnsi="Times New Roman"/>
          <w:i w:val="false"/>
          <w:iCs w:val="false"/>
          <w:sz w:val="24"/>
          <w:szCs w:val="24"/>
        </w:rPr>
        <w:t>value h means reimbursement only in hospitals</w:t>
      </w:r>
    </w:p>
    <w:p>
      <w:pPr>
        <w:pStyle w:val="NormalWeb"/>
        <w:numPr>
          <w:ilvl w:val="3"/>
          <w:numId w:val="2"/>
        </w:numPr>
        <w:spacing w:lineRule="auto" w:line="240" w:before="144" w:after="144"/>
        <w:rPr/>
      </w:pPr>
      <w:r>
        <w:rPr>
          <w:rStyle w:val="IntenseReference"/>
          <w:rFonts w:eastAsia="Droid Sans Fallback" w:ascii="Times New Roman" w:hAnsi="Times New Roman"/>
          <w:i w:val="false"/>
          <w:iCs w:val="false"/>
          <w:sz w:val="24"/>
          <w:szCs w:val="24"/>
        </w:rPr>
        <w:t>value J represents the special allowance by the RIZIV/INAMI for contraceptive drugs for women younger than 21 years</w:t>
      </w:r>
    </w:p>
    <w:p>
      <w:pPr>
        <w:pStyle w:val="NormalWeb"/>
        <w:numPr>
          <w:ilvl w:val="3"/>
          <w:numId w:val="2"/>
        </w:numPr>
        <w:spacing w:lineRule="auto" w:line="240" w:before="144" w:after="144"/>
        <w:rPr/>
      </w:pPr>
      <w:r>
        <w:rPr>
          <w:rStyle w:val="IntenseReference"/>
          <w:rFonts w:eastAsia="Droid Sans Fallback" w:ascii="Times New Roman" w:hAnsi="Times New Roman"/>
          <w:i w:val="false"/>
          <w:iCs w:val="false"/>
          <w:sz w:val="24"/>
          <w:szCs w:val="24"/>
        </w:rPr>
        <w:t>value aJ means the contraceptive drug is free for women younger than 21 years</w:t>
      </w:r>
    </w:p>
    <w:p>
      <w:pPr>
        <w:sectPr>
          <w:type w:val="nextPage"/>
          <w:pgSz w:w="12240" w:h="15840"/>
          <w:pgMar w:left="1134" w:right="1134" w:header="0" w:top="1134" w:footer="0" w:bottom="1134" w:gutter="0"/>
          <w:pgNumType w:fmt="decimal"/>
          <w:formProt w:val="false"/>
          <w:textDirection w:val="lrTb"/>
          <w:docGrid w:type="default" w:linePitch="240" w:charSpace="4294961151"/>
        </w:sectPr>
        <w:pStyle w:val="NormalWeb"/>
        <w:numPr>
          <w:ilvl w:val="3"/>
          <w:numId w:val="2"/>
        </w:numPr>
        <w:spacing w:lineRule="auto" w:line="240" w:before="144" w:after="144"/>
        <w:rPr/>
      </w:pPr>
      <w:r>
        <w:rPr>
          <w:rStyle w:val="IntenseReference"/>
          <w:rFonts w:eastAsia="Droid Sans Fallback" w:ascii="Times New Roman" w:hAnsi="Times New Roman"/>
          <w:i w:val="false"/>
          <w:iCs w:val="false"/>
          <w:sz w:val="24"/>
          <w:szCs w:val="24"/>
        </w:rPr>
        <w:t>the value Chr represents the special allowance by the RIZIV/INAMI for certain patients with persisting chronical pain</w:t>
      </w:r>
    </w:p>
    <w:p>
      <w:pPr>
        <w:pStyle w:val="Normal"/>
        <w:rPr>
          <w:b/>
          <w:b/>
          <w:bCs/>
          <w:u w:val="single"/>
        </w:rPr>
      </w:pPr>
      <w:r>
        <w:rPr>
          <w:b/>
          <w:bCs/>
          <w:u w:val="single"/>
        </w:rPr>
        <w:t>V1.6</w:t>
      </w:r>
    </w:p>
    <w:p>
      <w:pPr>
        <w:pStyle w:val="Normal"/>
        <w:rPr>
          <w:rFonts w:ascii="Times New Roman" w:hAnsi="Times New Roman" w:eastAsia="DejaVu Sans" w:cs="Lohit Hindi"/>
          <w:color w:val="00000A"/>
          <w:sz w:val="24"/>
          <w:szCs w:val="24"/>
          <w:lang w:val="en-US" w:eastAsia="zh-CN" w:bidi="hi-IN"/>
        </w:rPr>
      </w:pPr>
      <w:r>
        <w:rPr>
          <w:b w:val="false"/>
          <w:bCs w:val="false"/>
          <w:u w:val="single"/>
        </w:rPr>
        <w:t>TABLE MPP</w:t>
      </w:r>
    </w:p>
    <w:p>
      <w:pPr>
        <w:pStyle w:val="Normal"/>
        <w:rPr/>
      </w:pPr>
      <w:r>
        <w:rPr>
          <w:rStyle w:val="Accentuation"/>
          <w:i w:val="false"/>
          <w:iCs w:val="false"/>
        </w:rPr>
        <w:t>a new definition of a "cheap" medicine is in effect in the context of the evaluation of the prescription profile of medical practitioners, the field OGC in the MPP-table has been redefined :</w:t>
      </w:r>
    </w:p>
    <w:p>
      <w:pPr>
        <w:pStyle w:val="Normal"/>
        <w:numPr>
          <w:ilvl w:val="0"/>
          <w:numId w:val="1"/>
        </w:numPr>
        <w:rPr/>
      </w:pPr>
      <w:r>
        <w:rPr>
          <w:rStyle w:val="Accentuation"/>
          <w:i w:val="false"/>
          <w:iCs w:val="false"/>
        </w:rPr>
        <w:t xml:space="preserve">packages that are cheap are indicated with a value 'G' (the symbol with a green circle on our website) </w:t>
      </w:r>
    </w:p>
    <w:p>
      <w:pPr>
        <w:pStyle w:val="Normal"/>
        <w:numPr>
          <w:ilvl w:val="0"/>
          <w:numId w:val="1"/>
        </w:numPr>
        <w:rPr/>
      </w:pPr>
      <w:r>
        <w:rPr>
          <w:rStyle w:val="Accentuation"/>
          <w:i w:val="false"/>
          <w:iCs w:val="false"/>
        </w:rPr>
        <w:t>packages that are not cheap but for which the patient doesn't have to pay a supplementary fee to the copayment amount (called "supplement bij het remgeld" in Dutch and "supplément au ticket modérateur" French), are indicated with a value 'B' (the symbol with a blue circle on our website)</w:t>
      </w:r>
    </w:p>
    <w:p>
      <w:pPr>
        <w:pStyle w:val="Normal"/>
        <w:numPr>
          <w:ilvl w:val="0"/>
          <w:numId w:val="1"/>
        </w:numPr>
        <w:rPr/>
      </w:pPr>
      <w:r>
        <w:rPr>
          <w:rStyle w:val="Accentuation"/>
          <w:i w:val="false"/>
          <w:iCs w:val="false"/>
        </w:rPr>
        <w:t xml:space="preserve">packages that are not cheap and for which the patient has to pay a supplementary fee to the copayment amount (called "supplement bij het remgeld" in Dutch and "supplément au ticket modérateur" French) are indicated with a value 'R' (the symbol with a red circle on our website) </w:t>
      </w:r>
    </w:p>
    <w:p>
      <w:pPr>
        <w:pStyle w:val="Normal"/>
        <w:numPr>
          <w:ilvl w:val="0"/>
          <w:numId w:val="1"/>
        </w:numPr>
        <w:rPr/>
      </w:pPr>
      <w:r>
        <w:rPr>
          <w:rStyle w:val="Accentuation"/>
          <w:i w:val="false"/>
          <w:iCs w:val="false"/>
        </w:rPr>
        <w:t>packages that are not reimbursed have an empty value.</w:t>
      </w:r>
    </w:p>
    <w:p>
      <w:pPr>
        <w:pStyle w:val="Normal"/>
        <w:rPr>
          <w:b/>
          <w:b/>
          <w:bCs/>
          <w:u w:val="single"/>
        </w:rPr>
      </w:pPr>
      <w:r>
        <w:rPr>
          <w:b/>
          <w:bCs/>
          <w:u w:val="single"/>
        </w:rPr>
      </w:r>
    </w:p>
    <w:p>
      <w:pPr>
        <w:pStyle w:val="Normal"/>
        <w:rPr>
          <w:b/>
          <w:b/>
          <w:bCs/>
          <w:u w:val="single"/>
        </w:rPr>
      </w:pPr>
      <w:r>
        <w:rPr>
          <w:b/>
          <w:bCs/>
          <w:u w:val="single"/>
        </w:rPr>
        <w:t>V1.5</w:t>
      </w:r>
    </w:p>
    <w:p>
      <w:pPr>
        <w:pStyle w:val="Normal"/>
        <w:rPr>
          <w:b w:val="false"/>
          <w:b w:val="false"/>
          <w:bCs w:val="false"/>
          <w:u w:val="single"/>
        </w:rPr>
      </w:pPr>
      <w:r>
        <w:rPr>
          <w:b w:val="false"/>
          <w:bCs w:val="false"/>
          <w:u w:val="single"/>
        </w:rPr>
        <w:t>TABLE MPP</w:t>
      </w:r>
    </w:p>
    <w:p>
      <w:pPr>
        <w:pStyle w:val="Normal"/>
        <w:rPr/>
      </w:pPr>
      <w:r>
        <w:rPr/>
        <w:t>Field vosnm_, removed NOT NULL constraint, this field can now be null</w:t>
      </w:r>
    </w:p>
    <w:p>
      <w:pPr>
        <w:pStyle w:val="Normal"/>
        <w:rPr>
          <w:b/>
          <w:b/>
          <w:bCs/>
          <w:u w:val="single"/>
        </w:rPr>
      </w:pPr>
      <w:r>
        <w:rPr>
          <w:b/>
          <w:bCs/>
          <w:u w:val="single"/>
        </w:rPr>
      </w:r>
    </w:p>
    <w:p>
      <w:pPr>
        <w:pStyle w:val="Normal"/>
        <w:rPr/>
      </w:pPr>
      <w:r>
        <w:rPr>
          <w:b/>
          <w:bCs/>
          <w:u w:val="single"/>
        </w:rPr>
        <w:t>V1.4</w:t>
      </w:r>
    </w:p>
    <w:p>
      <w:pPr>
        <w:pStyle w:val="Normal"/>
        <w:rPr/>
      </w:pPr>
      <w:bookmarkStart w:id="2" w:name="_GoBack"/>
      <w:bookmarkEnd w:id="2"/>
      <w:r>
        <w:rPr/>
        <w:t xml:space="preserve">Table FIRM renamed to IR (Information Responsible) to fit structure of upoming formats. </w:t>
      </w:r>
    </w:p>
    <w:p>
      <w:pPr>
        <w:pStyle w:val="Normal"/>
        <w:rPr/>
      </w:pPr>
      <w:r>
        <w:rPr/>
        <w:t>Corrected error resulting in htmlentities characters in MPP(fr) table in galnm_ field those are now normal accents (error corrected also in dbf version).</w:t>
      </w:r>
    </w:p>
    <w:p>
      <w:pPr>
        <w:pStyle w:val="Normal"/>
        <w:rPr>
          <w:b/>
          <w:b/>
          <w:bCs/>
          <w:u w:val="single"/>
        </w:rPr>
      </w:pPr>
      <w:r>
        <w:rPr>
          <w:b/>
          <w:bCs/>
          <w:u w:val="single"/>
        </w:rPr>
      </w:r>
    </w:p>
    <w:p>
      <w:pPr>
        <w:pStyle w:val="Normal"/>
        <w:rPr>
          <w:b/>
          <w:b/>
          <w:bCs/>
          <w:u w:val="single"/>
        </w:rPr>
      </w:pPr>
      <w:r>
        <w:rPr>
          <w:b/>
          <w:bCs/>
          <w:u w:val="single"/>
        </w:rPr>
        <w:t xml:space="preserve">V1.3 </w:t>
      </w:r>
    </w:p>
    <w:p>
      <w:pPr>
        <w:pStyle w:val="Normal"/>
        <w:rPr/>
      </w:pPr>
      <w:r>
        <w:rPr/>
        <w:t>All changes of _PK tables have been integrated into normal tables and _PK tables have been deleted</w:t>
      </w:r>
    </w:p>
    <w:p>
      <w:pPr>
        <w:pStyle w:val="Normal"/>
        <w:rPr>
          <w:b/>
          <w:b/>
          <w:bCs/>
          <w:u w:val="single"/>
        </w:rPr>
      </w:pPr>
      <w:r>
        <w:rPr>
          <w:b/>
          <w:bCs/>
          <w:u w:val="single"/>
        </w:rPr>
      </w:r>
    </w:p>
    <w:p>
      <w:pPr>
        <w:pStyle w:val="Normal"/>
        <w:rPr/>
      </w:pPr>
      <w:r>
        <w:rPr>
          <w:b/>
          <w:bCs/>
          <w:u w:val="single"/>
        </w:rPr>
        <w:t>V1.2</w:t>
      </w:r>
    </w:p>
    <w:p>
      <w:pPr>
        <w:pStyle w:val="Normal"/>
        <w:rPr/>
      </w:pPr>
      <w:r>
        <w:rPr/>
        <w:t xml:space="preserve">Files with suffix _PK have been added for the HYR, MPP and SAM files in the csv version. These additional _PK files adhere, contrary to the original files without _PK suffix, to the usual convention that all columns corresponding to primary key fields precede columns corresponding to all other fields. These modified versions are thus made to ease importing the files into databases or tools that require adherence to this best practice. At the same occasion, small supplementary modifications are made in these files with suffix _PK that should contribute to a smoother import of these files (see below).  </w:t>
      </w:r>
    </w:p>
    <w:p>
      <w:pPr>
        <w:pStyle w:val="Normal"/>
        <w:rPr>
          <w:b/>
          <w:b/>
          <w:bCs/>
        </w:rPr>
      </w:pPr>
      <w:r>
        <w:rPr>
          <w:b/>
          <w:bCs/>
        </w:rPr>
        <w:t>Important notice: in the next three updates, we will provide both versions (i.e. the versions with and without the _PK suffix) of the concerning files. Please note, however, that the modifications, now only present in the files with suffix _PK, will be implemented in the original files starting from July 2013. Please adapt your software well in advance as to allow for these minor changes.</w:t>
      </w:r>
    </w:p>
    <w:p>
      <w:pPr>
        <w:pStyle w:val="Normal"/>
        <w:rPr/>
      </w:pPr>
      <w:r>
        <w:rPr/>
        <w:t>Table PVT has been removed, needs rework before production use. You still can ask for it if you use it.</w:t>
      </w:r>
    </w:p>
    <w:p>
      <w:pPr>
        <w:pStyle w:val="Normal"/>
        <w:rPr/>
      </w:pPr>
      <w:r>
        <w:rPr/>
        <w:t>FIELD Vosnm_ name change to FVos_ in fr version (stays NVos_ in nl version)</w:t>
      </w:r>
    </w:p>
    <w:p>
      <w:pPr>
        <w:pStyle w:val="Normal"/>
        <w:rPr/>
      </w:pPr>
      <w:r>
        <w:rPr/>
        <w:t xml:space="preserve">Previously undocumented, but important change (therefore also applies to V1.1)  : </w:t>
      </w:r>
    </w:p>
    <w:p>
      <w:pPr>
        <w:pStyle w:val="Normal"/>
        <w:rPr>
          <w:b/>
          <w:b/>
        </w:rPr>
      </w:pPr>
      <w:r>
        <w:rPr>
          <w:b/>
        </w:rPr>
        <w:t xml:space="preserve">TABLE SAM PRIMARY KEY change </w:t>
      </w:r>
    </w:p>
    <w:p>
      <w:pPr>
        <w:pStyle w:val="Normal"/>
        <w:rPr/>
      </w:pPr>
      <w:r>
        <w:rPr>
          <w:b/>
        </w:rPr>
        <w:t>from MPPCv + InRank</w:t>
        <w:tab/>
        <w:t>to</w:t>
        <w:tab/>
        <w:t>MPPCv + StofCv + PPID</w:t>
      </w:r>
    </w:p>
    <w:p>
      <w:pPr>
        <w:pStyle w:val="Normal"/>
        <w:rPr/>
      </w:pPr>
      <w:r>
        <w:rPr/>
        <w:t>(Please note that empty PPIDs have to be considered as empty strings and not as NULL values)</w:t>
      </w:r>
    </w:p>
    <w:p>
      <w:pPr>
        <w:pStyle w:val="Normal"/>
        <w:rPr/>
      </w:pPr>
      <w:r>
        <w:rPr/>
        <w:t>Added _PK Table Files for HYR, MPP and SAM table (cf. note above):</w:t>
      </w:r>
    </w:p>
    <w:p>
      <w:pPr>
        <w:pStyle w:val="Normal"/>
        <w:rPr/>
      </w:pPr>
      <w:r>
        <w:rPr>
          <w:u w:val="single"/>
        </w:rPr>
        <w:t>TABLE HYR_PK</w:t>
      </w:r>
    </w:p>
    <w:p>
      <w:pPr>
        <w:pStyle w:val="Normal"/>
        <w:rPr/>
      </w:pPr>
      <w:r>
        <w:rPr/>
        <w:t>COLUMN ORDER Change from Hyr, HyrCV to HyrCV, Hyr</w:t>
      </w:r>
    </w:p>
    <w:p>
      <w:pPr>
        <w:pStyle w:val="Normal"/>
        <w:rPr/>
      </w:pPr>
      <w:r>
        <w:rPr>
          <w:u w:val="single"/>
        </w:rPr>
        <w:t>TABLE MPP_PK</w:t>
      </w:r>
    </w:p>
    <w:p>
      <w:pPr>
        <w:pStyle w:val="Normal"/>
        <w:rPr/>
      </w:pPr>
      <w:r>
        <w:rPr/>
        <w:t>COLUMN ORDER Change from Hyr_, HyrCv, OGC, MPCv, MPPCv, ... to MPPCv, Hyr_, HyrCv_, OGC, …</w:t>
      </w:r>
    </w:p>
    <w:p>
      <w:pPr>
        <w:pStyle w:val="Normal"/>
        <w:rPr/>
      </w:pPr>
      <w:r>
        <w:rPr/>
        <w:t>REPLACED DECIMAL SYMBOL from ‘,’ to ‘.’ For FIELDS (FLOAT) PUPR, INDEX, REMA, REMW</w:t>
      </w:r>
    </w:p>
    <w:p>
      <w:pPr>
        <w:pStyle w:val="Normal"/>
        <w:rPr/>
      </w:pPr>
      <w:r>
        <w:rPr/>
        <w:t>FILLED GENERIC VALUE ‘FALSE’ in GDKP FIELD (still not filled by us, but declared as boolean)</w:t>
      </w:r>
    </w:p>
    <w:p>
      <w:pPr>
        <w:pStyle w:val="Normal"/>
        <w:rPr/>
      </w:pPr>
      <w:r>
        <w:rPr>
          <w:u w:val="single"/>
        </w:rPr>
        <w:t>TABLE SAM_PK</w:t>
      </w:r>
    </w:p>
    <w:p>
      <w:pPr>
        <w:pStyle w:val="Normal"/>
        <w:rPr/>
      </w:pPr>
      <w:r>
        <w:rPr/>
        <w:t>COLUMN ORDER Change from Hyr_, HyrCv, MPCv, MPPCv, MPPNM, PPID to MPPCV, StofCv, PPID, Hyr_, HyrCv_, MPCv, MPPNM_</w:t>
      </w:r>
    </w:p>
    <w:p>
      <w:pPr>
        <w:pStyle w:val="Normal"/>
        <w:rPr/>
      </w:pPr>
      <w:r>
        <w:rPr/>
        <w:t>REPLACE DECIMAL SYMBOL from ‘,’ to ‘.’ For FIELDS (FLOAT) InQ, InBasQ, InQ2</w:t>
      </w:r>
    </w:p>
    <w:p>
      <w:pPr>
        <w:pStyle w:val="Normal"/>
        <w:rPr>
          <w:b/>
          <w:b/>
          <w:bCs/>
          <w:u w:val="single"/>
        </w:rPr>
      </w:pPr>
      <w:r>
        <w:rPr>
          <w:b/>
          <w:bCs/>
          <w:u w:val="single"/>
        </w:rPr>
      </w:r>
    </w:p>
    <w:p>
      <w:pPr>
        <w:pStyle w:val="Normal"/>
        <w:rPr/>
      </w:pPr>
      <w:r>
        <w:rPr>
          <w:b/>
          <w:bCs/>
          <w:u w:val="single"/>
        </w:rPr>
        <w:t>V1.1</w:t>
      </w:r>
    </w:p>
    <w:p>
      <w:pPr>
        <w:pStyle w:val="Normal"/>
        <w:rPr/>
      </w:pPr>
      <w:r>
        <w:rPr/>
        <w:t>Added FIELD ORDER change for 3 tables :</w:t>
      </w:r>
    </w:p>
    <w:p>
      <w:pPr>
        <w:pStyle w:val="Normal"/>
        <w:rPr/>
      </w:pPr>
      <w:r>
        <w:rPr>
          <w:u w:val="single"/>
        </w:rPr>
        <w:t xml:space="preserve">TABLE MP </w:t>
      </w:r>
    </w:p>
    <w:p>
      <w:pPr>
        <w:pStyle w:val="Normal"/>
        <w:rPr/>
      </w:pPr>
      <w:r>
        <w:rPr>
          <w:rFonts w:cs="Times New Roman"/>
        </w:rPr>
        <w:t xml:space="preserve">FIELD ORDER is now </w:t>
      </w:r>
      <w:r>
        <w:rPr>
          <w:rFonts w:eastAsia="Times New Roman" w:cs="Times New Roman"/>
          <w:color w:val="000000"/>
          <w:lang w:eastAsia="fr-BE" w:bidi="ar-SA"/>
        </w:rPr>
        <w:t>WADAF, RANK, NMCV, ORPHAN, SPECRULES, NARCOTIC, AMB</w:t>
      </w:r>
    </w:p>
    <w:p>
      <w:pPr>
        <w:pStyle w:val="Normal"/>
        <w:rPr/>
      </w:pPr>
      <w:r>
        <w:rPr>
          <w:rFonts w:eastAsia="Times New Roman" w:cs="Times New Roman"/>
          <w:color w:val="000000"/>
          <w:u w:val="single"/>
          <w:lang w:eastAsia="fr-BE" w:bidi="ar-SA"/>
        </w:rPr>
        <w:t>TABLE MPP</w:t>
      </w:r>
    </w:p>
    <w:p>
      <w:pPr>
        <w:pStyle w:val="Normal"/>
        <w:rPr/>
      </w:pPr>
      <w:r>
        <w:rPr>
          <w:rFonts w:cs="Times New Roman"/>
        </w:rPr>
        <w:t xml:space="preserve">FIELD ORDER is now </w:t>
      </w:r>
      <w:r>
        <w:rPr>
          <w:rFonts w:eastAsia="Times New Roman" w:cs="Times New Roman"/>
          <w:color w:val="000000"/>
          <w:lang w:eastAsia="fr-BE" w:bidi="ar-SA"/>
        </w:rPr>
        <w:t>REMW, INNNCNK, VOSNM_/NVOS, BT, GDKP, EXCIP, CHEAPEST, SPECRULES, NARCOTIC, AMB</w:t>
      </w:r>
    </w:p>
    <w:p>
      <w:pPr>
        <w:pStyle w:val="Normal"/>
        <w:rPr/>
      </w:pPr>
      <w:r>
        <w:rPr>
          <w:u w:val="single"/>
        </w:rPr>
        <w:t>TABLE GGR_LINK</w:t>
      </w:r>
    </w:p>
    <w:p>
      <w:pPr>
        <w:pStyle w:val="Normal"/>
        <w:rPr/>
      </w:pPr>
      <w:r>
        <w:rPr/>
        <w:t>FIELD ORDER is now MPPCV, MPPNM_, LINK2MPG, LINK2PVT</w:t>
      </w:r>
    </w:p>
    <w:p>
      <w:pPr>
        <w:pStyle w:val="Normal"/>
        <w:rPr/>
      </w:pPr>
      <w:r>
        <w:rPr>
          <w:b/>
          <w:bCs/>
          <w:u w:val="single"/>
        </w:rPr>
        <w:t>V1.0</w:t>
      </w:r>
    </w:p>
    <w:p>
      <w:pPr>
        <w:pStyle w:val="Normal"/>
        <w:rPr/>
      </w:pPr>
      <w:r>
        <w:rPr/>
        <w:t>Listing of changes between 2012 and 2013 structure.  DBF files will stay at 2012 and other formats will be affected by the changes below.</w:t>
      </w:r>
    </w:p>
    <w:p>
      <w:pPr>
        <w:pStyle w:val="Normal"/>
        <w:rPr/>
      </w:pPr>
      <w:r>
        <w:rPr>
          <w:u w:val="single"/>
        </w:rPr>
        <w:t xml:space="preserve">TABLE HYR </w:t>
      </w:r>
    </w:p>
    <w:p>
      <w:pPr>
        <w:pStyle w:val="Normal"/>
        <w:rPr/>
      </w:pPr>
      <w:r>
        <w:rPr/>
        <w:t xml:space="preserve">FIELD TI length change from 100 to 150 characters. </w:t>
      </w:r>
    </w:p>
    <w:p>
      <w:pPr>
        <w:pStyle w:val="Normal"/>
        <w:rPr>
          <w:u w:val="single"/>
        </w:rPr>
      </w:pPr>
      <w:r>
        <w:rPr>
          <w:u w:val="single"/>
        </w:rPr>
        <w:t xml:space="preserve">TABLE MP </w:t>
      </w:r>
    </w:p>
    <w:p>
      <w:pPr>
        <w:pStyle w:val="Normal"/>
        <w:rPr/>
      </w:pPr>
      <w:r>
        <w:rPr/>
        <w:t xml:space="preserve">FIELD HYR name change to HYR_ </w:t>
      </w:r>
    </w:p>
    <w:p>
      <w:pPr>
        <w:pStyle w:val="Normal"/>
        <w:rPr/>
      </w:pPr>
      <w:r>
        <w:rPr/>
        <w:t xml:space="preserve">FIELD MPPNM length change from 55 TO 60 </w:t>
      </w:r>
    </w:p>
    <w:p>
      <w:pPr>
        <w:pStyle w:val="Normal"/>
        <w:rPr/>
      </w:pPr>
      <w:r>
        <w:rPr/>
        <w:t xml:space="preserve">FIELD RANK new field, Integer, not yet used, Indicates the order in the MP-list of a MpGrp </w:t>
      </w:r>
    </w:p>
    <w:p>
      <w:pPr>
        <w:pStyle w:val="Normal"/>
        <w:rPr/>
      </w:pPr>
      <w:r>
        <w:rPr/>
        <w:t xml:space="preserve">FIELD ORPHAN new field, Boolean, not yet used, Indicates the orphan status </w:t>
      </w:r>
    </w:p>
    <w:p>
      <w:pPr>
        <w:pStyle w:val="Normal"/>
        <w:rPr/>
      </w:pPr>
      <w:r>
        <w:rPr/>
        <w:t xml:space="preserve">FIELD SPECRULES new field, Boolean, not yet used, </w:t>
      </w:r>
      <w:r>
        <w:rPr>
          <w:rFonts w:eastAsia="Times New Roman" w:cs="Times New Roman"/>
          <w:lang w:val="en-GB" w:eastAsia="nl-BE"/>
        </w:rPr>
        <w:t>speciaal gereglementeerd”/</w:t>
        <w:br/>
        <w:t>”spécialement réglementé” Special rules for delivery</w:t>
      </w:r>
    </w:p>
    <w:p>
      <w:pPr>
        <w:pStyle w:val="Normal"/>
        <w:rPr/>
      </w:pPr>
      <w:r>
        <w:rPr/>
        <w:t xml:space="preserve">FIELD NARCOTIC new field, Boolean, not yet used, </w:t>
      </w:r>
      <w:r>
        <w:rPr>
          <w:rFonts w:eastAsia="Times New Roman" w:cs="Times New Roman"/>
          <w:lang w:val="en-GB" w:eastAsia="nl-BE"/>
        </w:rPr>
        <w:t>“Narcotic”/ “stupéfiant”</w:t>
        <w:br/>
        <w:t>Special rules for prescription and delivery</w:t>
      </w:r>
    </w:p>
    <w:p>
      <w:pPr>
        <w:pStyle w:val="Normal"/>
        <w:rPr>
          <w:u w:val="single"/>
        </w:rPr>
      </w:pPr>
      <w:r>
        <w:rPr>
          <w:u w:val="single"/>
        </w:rPr>
        <w:t xml:space="preserve">TABLE MPP </w:t>
      </w:r>
    </w:p>
    <w:p>
      <w:pPr>
        <w:pStyle w:val="Normal"/>
        <w:rPr/>
      </w:pPr>
      <w:r>
        <w:rPr/>
        <w:t xml:space="preserve">FIELD HYR name change to HYR_ </w:t>
      </w:r>
    </w:p>
    <w:p>
      <w:pPr>
        <w:pStyle w:val="Normal"/>
        <w:rPr/>
      </w:pPr>
      <w:r>
        <w:rPr/>
        <w:t xml:space="preserve">FIELD OGC_R name change to OGC </w:t>
      </w:r>
    </w:p>
    <w:p>
      <w:pPr>
        <w:pStyle w:val="Normal"/>
        <w:rPr/>
      </w:pPr>
      <w:r>
        <w:rPr/>
        <w:t xml:space="preserve">FIELD MPPNM length change from 70 to 100 </w:t>
      </w:r>
    </w:p>
    <w:p>
      <w:pPr>
        <w:pStyle w:val="Normal"/>
        <w:rPr/>
      </w:pPr>
      <w:r>
        <w:rPr/>
        <w:t xml:space="preserve">FIELD CFU length change from 20 to 30 </w:t>
      </w:r>
    </w:p>
    <w:p>
      <w:pPr>
        <w:pStyle w:val="Normal"/>
        <w:rPr/>
      </w:pPr>
      <w:r>
        <w:rPr/>
        <w:t xml:space="preserve">FIELD CONTENT name change to CONTENT_ and length change from 20 to 50 </w:t>
      </w:r>
    </w:p>
    <w:p>
      <w:pPr>
        <w:pStyle w:val="Normal"/>
        <w:rPr/>
      </w:pPr>
      <w:r>
        <w:rPr/>
        <w:t xml:space="preserve">FIELD GALNM name change to GALNM_ and length change from 50 to 80 </w:t>
      </w:r>
    </w:p>
    <w:p>
      <w:pPr>
        <w:pStyle w:val="Normal"/>
        <w:rPr/>
      </w:pPr>
      <w:r>
        <w:rPr/>
        <w:t xml:space="preserve">FIELD RVOS deleted </w:t>
      </w:r>
    </w:p>
    <w:p>
      <w:pPr>
        <w:pStyle w:val="Normal"/>
        <w:rPr/>
      </w:pPr>
      <w:r>
        <w:rPr/>
        <w:t xml:space="preserve">FIELD VOSNM_ added, Char 120, Indication of INN group name NL or FR version depending on the language. See Ammp4Inn table (INN pack) </w:t>
      </w:r>
    </w:p>
    <w:p>
      <w:pPr>
        <w:pStyle w:val="Normal"/>
        <w:rPr/>
      </w:pPr>
      <w:r>
        <w:rPr/>
        <w:t xml:space="preserve">FIELD SPECRULES new field, Boolean, not yet used, </w:t>
      </w:r>
      <w:r>
        <w:rPr>
          <w:rFonts w:eastAsia="Times New Roman" w:cs="Times New Roman"/>
          <w:lang w:val="en-GB" w:eastAsia="nl-BE"/>
        </w:rPr>
        <w:t>speciaal gereglementeerd”/</w:t>
        <w:br/>
        <w:t>”spécialement réglementé” Special rules for delivery</w:t>
      </w:r>
    </w:p>
    <w:p>
      <w:pPr>
        <w:pStyle w:val="Normal"/>
        <w:rPr/>
      </w:pPr>
      <w:r>
        <w:rPr/>
        <w:t xml:space="preserve">FIELD NARCOTIC new field, Boolean, not yet used, </w:t>
      </w:r>
      <w:r>
        <w:rPr>
          <w:rFonts w:eastAsia="Times New Roman" w:cs="Times New Roman"/>
          <w:lang w:val="en-GB" w:eastAsia="nl-BE"/>
        </w:rPr>
        <w:t>“Narcotic”/ “stupéfiant”</w:t>
        <w:br/>
        <w:t>Special rules for prescription and delivery</w:t>
      </w:r>
    </w:p>
    <w:p>
      <w:pPr>
        <w:pStyle w:val="Normal"/>
        <w:rPr>
          <w:u w:val="single"/>
        </w:rPr>
      </w:pPr>
      <w:r>
        <w:rPr>
          <w:u w:val="single"/>
        </w:rPr>
        <w:t xml:space="preserve">TABLE SAM </w:t>
      </w:r>
    </w:p>
    <w:p>
      <w:pPr>
        <w:pStyle w:val="Normal"/>
        <w:rPr/>
      </w:pPr>
      <w:r>
        <w:rPr/>
        <w:t xml:space="preserve">FIELD HYR name change to HYR_ </w:t>
      </w:r>
    </w:p>
    <w:p>
      <w:pPr>
        <w:pStyle w:val="Normal"/>
        <w:rPr/>
      </w:pPr>
      <w:r>
        <w:rPr/>
        <w:t xml:space="preserve">FIELD HYRCV name change to HYRCV_ </w:t>
      </w:r>
    </w:p>
    <w:p>
      <w:pPr>
        <w:pStyle w:val="Normal"/>
        <w:rPr/>
      </w:pPr>
      <w:r>
        <w:rPr/>
        <w:t xml:space="preserve">FIELD MPCV name change to MPCV_ </w:t>
      </w:r>
    </w:p>
    <w:p>
      <w:pPr>
        <w:pStyle w:val="Normal"/>
        <w:rPr/>
      </w:pPr>
      <w:r>
        <w:rPr/>
        <w:t xml:space="preserve">FIELD MPPNM name change to MPPNM_ </w:t>
      </w:r>
    </w:p>
    <w:p>
      <w:pPr>
        <w:pStyle w:val="Normal"/>
        <w:rPr/>
      </w:pPr>
      <w:r>
        <w:rPr/>
        <w:t xml:space="preserve">FIELD STOFNM_ new field, char 120, Shows meaning of the StofCV code see InNm Table </w:t>
      </w:r>
    </w:p>
    <w:p>
      <w:pPr>
        <w:pStyle w:val="Normal"/>
        <w:rPr/>
      </w:pPr>
      <w:r>
        <w:rPr/>
        <w:t xml:space="preserve">FIELD DIM length change from 20 to 30 </w:t>
      </w:r>
    </w:p>
    <w:p>
      <w:pPr>
        <w:pStyle w:val="Normal"/>
        <w:rPr>
          <w:u w:val="single"/>
        </w:rPr>
      </w:pPr>
      <w:r>
        <w:rPr>
          <w:u w:val="single"/>
        </w:rPr>
        <w:t xml:space="preserve">TABLE IR </w:t>
      </w:r>
    </w:p>
    <w:p>
      <w:pPr>
        <w:pStyle w:val="Normal"/>
        <w:rPr/>
      </w:pPr>
      <w:r>
        <w:rPr/>
        <w:t xml:space="preserve">FIELD NIRNM length change from 45 to 50 </w:t>
      </w:r>
    </w:p>
    <w:p>
      <w:pPr>
        <w:pStyle w:val="Normal"/>
        <w:rPr/>
      </w:pPr>
      <w:r>
        <w:rPr/>
        <w:t xml:space="preserve">FIELD FIRNM length change from 45 to 50 </w:t>
      </w:r>
    </w:p>
    <w:p>
      <w:pPr>
        <w:pStyle w:val="Normal"/>
        <w:rPr/>
      </w:pPr>
      <w:r>
        <w:rPr>
          <w:u w:val="single"/>
        </w:rPr>
        <w:t xml:space="preserve">TABLE INNM </w:t>
      </w:r>
    </w:p>
    <w:p>
      <w:pPr>
        <w:pStyle w:val="Normal"/>
        <w:rPr/>
      </w:pPr>
      <w:r>
        <w:rPr/>
        <w:t xml:space="preserve">FIELD INCV deleted </w:t>
      </w:r>
    </w:p>
    <w:p>
      <w:pPr>
        <w:pStyle w:val="Normal"/>
        <w:rPr/>
      </w:pPr>
      <w:r>
        <w:rPr/>
        <w:t xml:space="preserve">FIELD INNMX length change from 110 to 130 </w:t>
      </w:r>
    </w:p>
    <w:p>
      <w:pPr>
        <w:pStyle w:val="Normal"/>
        <w:rPr/>
      </w:pPr>
      <w:r>
        <w:rPr/>
        <w:t xml:space="preserve">FIELD NSALTESTR length change from 60 to 80 </w:t>
      </w:r>
    </w:p>
    <w:p>
      <w:pPr>
        <w:pStyle w:val="Normal"/>
        <w:rPr/>
      </w:pPr>
      <w:r>
        <w:rPr/>
        <w:t xml:space="preserve">FIELD FBASE length change from 110 to 130 </w:t>
      </w:r>
    </w:p>
    <w:p>
      <w:pPr>
        <w:pStyle w:val="Normal"/>
        <w:rPr/>
      </w:pPr>
      <w:r>
        <w:rPr/>
        <w:t xml:space="preserve">FIELD FINNMX length change from 110 to 130 </w:t>
      </w:r>
    </w:p>
    <w:p>
      <w:pPr>
        <w:sectPr>
          <w:type w:val="nextPage"/>
          <w:pgSz w:w="12240" w:h="15840"/>
          <w:pgMar w:left="1134" w:right="1134" w:header="0" w:top="1134" w:footer="0" w:bottom="1134" w:gutter="0"/>
          <w:pgNumType w:fmt="decimal"/>
          <w:formProt w:val="false"/>
          <w:textDirection w:val="lrTb"/>
          <w:docGrid w:type="default" w:linePitch="240" w:charSpace="4294961151"/>
        </w:sectPr>
        <w:pStyle w:val="Normal"/>
        <w:rPr/>
      </w:pPr>
      <w:r>
        <w:rPr/>
        <w:t xml:space="preserve">FIELD FSALTESTR length change from 60 to 80 </w:t>
      </w:r>
    </w:p>
    <w:p>
      <w:pPr>
        <w:pStyle w:val="Normal"/>
        <w:rPr/>
      </w:pPr>
      <w:r>
        <w:rPr/>
        <w:t xml:space="preserve">NOTES: </w:t>
      </w:r>
    </w:p>
    <w:p>
      <w:pPr>
        <w:pStyle w:val="Normal"/>
        <w:rPr/>
      </w:pPr>
      <w:r>
        <w:rPr/>
        <w:t>-Changes of length are relative to character type of fields.</w:t>
      </w:r>
    </w:p>
    <w:p>
      <w:pPr>
        <w:pStyle w:val="Normal"/>
        <w:spacing w:before="0" w:after="200"/>
        <w:rPr/>
      </w:pPr>
      <w:r>
        <w:rPr/>
        <w:t>-The addition of an underscore (_)  to a field name emphasizes the redundancy of that field, as its values are taken from another table. We advise not to use these fields directly in your software as they are only meant for orientation of the developer.</w:t>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 w:name="Times New Roman">
    <w:charset w:val="01"/>
    <w:family w:val="roman"/>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Symbol"/>
      </w:rPr>
    </w:lvl>
    <w:lvl w:ilvl="1">
      <w:start w:val="1"/>
      <w:numFmt w:val="bullet"/>
      <w:lvlText w:val=""/>
      <w:lvlJc w:val="left"/>
      <w:pPr>
        <w:tabs>
          <w:tab w:val="num" w:pos="1080"/>
        </w:tabs>
        <w:ind w:left="1080" w:hanging="360"/>
      </w:pPr>
      <w:rPr>
        <w:rFonts w:ascii="Symbol" w:hAnsi="Symbol" w:cs="Symbol" w:hint="default"/>
        <w:rFonts w:cs="Symbol"/>
      </w:rPr>
    </w:lvl>
    <w:lvl w:ilvl="2">
      <w:start w:val="1"/>
      <w:numFmt w:val="bullet"/>
      <w:lvlText w:val=""/>
      <w:lvlJc w:val="left"/>
      <w:pPr>
        <w:tabs>
          <w:tab w:val="num" w:pos="1440"/>
        </w:tabs>
        <w:ind w:left="1440" w:hanging="360"/>
      </w:pPr>
      <w:rPr>
        <w:rFonts w:ascii="Symbol" w:hAnsi="Symbol" w:cs="Symbol" w:hint="default"/>
        <w:rFonts w:cs="Symbol"/>
      </w:rPr>
    </w:lvl>
    <w:lvl w:ilvl="3">
      <w:start w:val="1"/>
      <w:numFmt w:val="bullet"/>
      <w:lvlText w:val=""/>
      <w:lvlJc w:val="left"/>
      <w:pPr>
        <w:tabs>
          <w:tab w:val="num" w:pos="1800"/>
        </w:tabs>
        <w:ind w:left="1800" w:hanging="360"/>
      </w:pPr>
      <w:rPr>
        <w:rFonts w:ascii="Symbol" w:hAnsi="Symbol" w:cs="Symbol" w:hint="default"/>
        <w:rFonts w:cs="Symbol"/>
      </w:rPr>
    </w:lvl>
    <w:lvl w:ilvl="4">
      <w:start w:val="1"/>
      <w:numFmt w:val="bullet"/>
      <w:lvlText w:val=""/>
      <w:lvlJc w:val="left"/>
      <w:pPr>
        <w:tabs>
          <w:tab w:val="num" w:pos="2160"/>
        </w:tabs>
        <w:ind w:left="2160" w:hanging="360"/>
      </w:pPr>
      <w:rPr>
        <w:rFonts w:ascii="Symbol" w:hAnsi="Symbol" w:cs="Symbol" w:hint="default"/>
        <w:rFonts w:cs="Symbol"/>
      </w:rPr>
    </w:lvl>
    <w:lvl w:ilvl="5">
      <w:start w:val="1"/>
      <w:numFmt w:val="bullet"/>
      <w:lvlText w:val=""/>
      <w:lvlJc w:val="left"/>
      <w:pPr>
        <w:tabs>
          <w:tab w:val="num" w:pos="2520"/>
        </w:tabs>
        <w:ind w:left="2520" w:hanging="360"/>
      </w:pPr>
      <w:rPr>
        <w:rFonts w:ascii="Symbol" w:hAnsi="Symbol" w:cs="Symbol" w:hint="default"/>
        <w:rFonts w:cs="Symbol"/>
      </w:rPr>
    </w:lvl>
    <w:lvl w:ilvl="6">
      <w:start w:val="1"/>
      <w:numFmt w:val="bullet"/>
      <w:lvlText w:val=""/>
      <w:lvlJc w:val="left"/>
      <w:pPr>
        <w:tabs>
          <w:tab w:val="num" w:pos="2880"/>
        </w:tabs>
        <w:ind w:left="2880" w:hanging="360"/>
      </w:pPr>
      <w:rPr>
        <w:rFonts w:ascii="Symbol" w:hAnsi="Symbol" w:cs="Symbol" w:hint="default"/>
        <w:rFonts w:cs="Symbol"/>
      </w:rPr>
    </w:lvl>
    <w:lvl w:ilvl="7">
      <w:start w:val="1"/>
      <w:numFmt w:val="bullet"/>
      <w:lvlText w:val=""/>
      <w:lvlJc w:val="left"/>
      <w:pPr>
        <w:tabs>
          <w:tab w:val="num" w:pos="3240"/>
        </w:tabs>
        <w:ind w:left="3240" w:hanging="360"/>
      </w:pPr>
      <w:rPr>
        <w:rFonts w:ascii="Symbol" w:hAnsi="Symbol" w:cs="Symbol" w:hint="default"/>
        <w:rFonts w:cs="Symbol"/>
      </w:rPr>
    </w:lvl>
    <w:lvl w:ilvl="8">
      <w:start w:val="1"/>
      <w:numFmt w:val="bullet"/>
      <w:lvlText w:val=""/>
      <w:lvlJc w:val="left"/>
      <w:pPr>
        <w:tabs>
          <w:tab w:val="num" w:pos="3600"/>
        </w:tabs>
        <w:ind w:left="3600" w:hanging="360"/>
      </w:pPr>
      <w:rPr>
        <w:rFonts w:ascii="Symbol" w:hAnsi="Symbol" w:cs="Symbol" w:hint="default"/>
        <w:rFonts w:cs="Symbol"/>
      </w:rPr>
    </w:lvl>
  </w:abstractNum>
  <w:abstractNum w:abstractNumId="2">
    <w:lvl w:ilvl="0">
      <w:start w:val="1"/>
      <w:numFmt w:val="bullet"/>
      <w:lvlText w:val=""/>
      <w:lvlJc w:val="left"/>
      <w:pPr>
        <w:tabs>
          <w:tab w:val="num" w:pos="720"/>
        </w:tabs>
        <w:ind w:left="720" w:hanging="360"/>
      </w:pPr>
      <w:rPr>
        <w:rFonts w:ascii="Symbol" w:hAnsi="Symbol" w:cs="Symbol" w:hint="default"/>
        <w:sz w:val="24"/>
        <w:b w:val="false"/>
        <w:rFonts w:cs="Symbol"/>
      </w:rPr>
    </w:lvl>
    <w:lvl w:ilvl="1">
      <w:start w:val="1"/>
      <w:numFmt w:val="bullet"/>
      <w:lvlText w:val="◦"/>
      <w:lvlJc w:val="left"/>
      <w:pPr>
        <w:tabs>
          <w:tab w:val="num" w:pos="1080"/>
        </w:tabs>
        <w:ind w:left="1080" w:hanging="360"/>
      </w:pPr>
      <w:rPr>
        <w:rFonts w:ascii="OpenSymbol" w:hAnsi="OpenSymbol" w:cs="OpenSymbol" w:hint="default"/>
        <w:sz w:val="24"/>
        <w:rFonts w:cs="OpenSymbol"/>
      </w:rPr>
    </w:lvl>
    <w:lvl w:ilvl="2">
      <w:start w:val="1"/>
      <w:numFmt w:val="bullet"/>
      <w:lvlText w:val="▪"/>
      <w:lvlJc w:val="left"/>
      <w:pPr>
        <w:tabs>
          <w:tab w:val="num" w:pos="1440"/>
        </w:tabs>
        <w:ind w:left="1440" w:hanging="360"/>
      </w:pPr>
      <w:rPr>
        <w:rFonts w:ascii="OpenSymbol" w:hAnsi="OpenSymbol" w:cs="OpenSymbol" w:hint="default"/>
        <w:sz w:val="24"/>
        <w:rFonts w:cs="OpenSymbol"/>
      </w:rPr>
    </w:lvl>
    <w:lvl w:ilvl="3">
      <w:start w:val="1"/>
      <w:numFmt w:val="bullet"/>
      <w:lvlText w:val=""/>
      <w:lvlJc w:val="left"/>
      <w:pPr>
        <w:tabs>
          <w:tab w:val="num" w:pos="1800"/>
        </w:tabs>
        <w:ind w:left="1800" w:hanging="360"/>
      </w:pPr>
      <w:rPr>
        <w:rFonts w:ascii="Symbol" w:hAnsi="Symbol" w:cs="Symbol" w:hint="default"/>
        <w:sz w:val="24"/>
        <w:b w:val="false"/>
        <w:rFonts w:cs="Symbol"/>
      </w:rPr>
    </w:lvl>
    <w:lvl w:ilvl="4">
      <w:start w:val="1"/>
      <w:numFmt w:val="bullet"/>
      <w:lvlText w:val="◦"/>
      <w:lvlJc w:val="left"/>
      <w:pPr>
        <w:tabs>
          <w:tab w:val="num" w:pos="2160"/>
        </w:tabs>
        <w:ind w:left="2160" w:hanging="360"/>
      </w:pPr>
      <w:rPr>
        <w:rFonts w:ascii="OpenSymbol" w:hAnsi="OpenSymbol" w:cs="OpenSymbol" w:hint="default"/>
        <w:sz w:val="24"/>
        <w:rFonts w:cs="OpenSymbol"/>
      </w:rPr>
    </w:lvl>
    <w:lvl w:ilvl="5">
      <w:start w:val="1"/>
      <w:numFmt w:val="bullet"/>
      <w:lvlText w:val="▪"/>
      <w:lvlJc w:val="left"/>
      <w:pPr>
        <w:tabs>
          <w:tab w:val="num" w:pos="2520"/>
        </w:tabs>
        <w:ind w:left="2520" w:hanging="360"/>
      </w:pPr>
      <w:rPr>
        <w:rFonts w:ascii="OpenSymbol" w:hAnsi="OpenSymbol" w:cs="OpenSymbol" w:hint="default"/>
        <w:sz w:val="24"/>
        <w:rFonts w:cs="OpenSymbol"/>
      </w:rPr>
    </w:lvl>
    <w:lvl w:ilvl="6">
      <w:start w:val="1"/>
      <w:numFmt w:val="bullet"/>
      <w:lvlText w:val=""/>
      <w:lvlJc w:val="left"/>
      <w:pPr>
        <w:tabs>
          <w:tab w:val="num" w:pos="2880"/>
        </w:tabs>
        <w:ind w:left="2880" w:hanging="360"/>
      </w:pPr>
      <w:rPr>
        <w:rFonts w:ascii="Symbol" w:hAnsi="Symbol" w:cs="Symbol" w:hint="default"/>
        <w:sz w:val="24"/>
        <w:b w:val="false"/>
        <w:rFonts w:cs="Symbol"/>
      </w:rPr>
    </w:lvl>
    <w:lvl w:ilvl="7">
      <w:start w:val="1"/>
      <w:numFmt w:val="bullet"/>
      <w:lvlText w:val="◦"/>
      <w:lvlJc w:val="left"/>
      <w:pPr>
        <w:tabs>
          <w:tab w:val="num" w:pos="3240"/>
        </w:tabs>
        <w:ind w:left="3240" w:hanging="360"/>
      </w:pPr>
      <w:rPr>
        <w:rFonts w:ascii="OpenSymbol" w:hAnsi="OpenSymbol" w:cs="OpenSymbol" w:hint="default"/>
        <w:sz w:val="24"/>
        <w:rFonts w:cs="OpenSymbol"/>
      </w:rPr>
    </w:lvl>
    <w:lvl w:ilvl="8">
      <w:start w:val="1"/>
      <w:numFmt w:val="bullet"/>
      <w:lvlText w:val="▪"/>
      <w:lvlJc w:val="left"/>
      <w:pPr>
        <w:tabs>
          <w:tab w:val="num" w:pos="3600"/>
        </w:tabs>
        <w:ind w:left="3600" w:hanging="360"/>
      </w:pPr>
      <w:rPr>
        <w:rFonts w:ascii="OpenSymbol" w:hAnsi="OpenSymbol" w:cs="OpenSymbol" w:hint="default"/>
        <w:sz w:val="24"/>
        <w:rFonts w:cs="OpenSymbol"/>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0"/>
  <w:defaultTabStop w:val="708"/>
  <w:autoHyphenation w:val="false"/>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fr-BE" w:eastAsia="fr-BE"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47f72"/>
    <w:pPr>
      <w:widowControl w:val="false"/>
      <w:suppressAutoHyphens w:val="true"/>
      <w:bidi w:val="0"/>
      <w:spacing w:lineRule="auto" w:line="276" w:before="0" w:after="200"/>
      <w:jc w:val="left"/>
    </w:pPr>
    <w:rPr>
      <w:rFonts w:ascii="Times New Roman" w:hAnsi="Times New Roman" w:eastAsia="DejaVu Sans" w:cs="Lohit Hindi"/>
      <w:color w:val="00000A"/>
      <w:sz w:val="24"/>
      <w:szCs w:val="24"/>
      <w:lang w:val="en-US" w:eastAsia="zh-CN" w:bidi="hi-IN"/>
    </w:rPr>
  </w:style>
  <w:style w:type="character" w:styleId="DefaultParagraphFont" w:default="1">
    <w:name w:val="Default Paragraph Font"/>
    <w:uiPriority w:val="1"/>
    <w:semiHidden/>
    <w:unhideWhenUsed/>
    <w:qFormat/>
    <w:rPr/>
  </w:style>
  <w:style w:type="character" w:styleId="ListLabel1" w:customStyle="1">
    <w:name w:val="ListLabel 1"/>
    <w:qFormat/>
    <w:rsid w:val="00d47f72"/>
    <w:rPr>
      <w:rFonts w:eastAsia="DejaVu Sans" w:cs="Lohit Hindi"/>
    </w:rPr>
  </w:style>
  <w:style w:type="character" w:styleId="ListLabel2" w:customStyle="1">
    <w:name w:val="ListLabel 2"/>
    <w:qFormat/>
    <w:rsid w:val="00d47f72"/>
    <w:rPr>
      <w:rFonts w:cs="Courier New"/>
    </w:rPr>
  </w:style>
  <w:style w:type="character" w:styleId="Accentuation">
    <w:name w:val="Accentuation"/>
    <w:qFormat/>
    <w:rPr>
      <w:i/>
      <w:iCs/>
    </w:rPr>
  </w:style>
  <w:style w:type="character" w:styleId="Puces">
    <w:name w:val="Puces"/>
    <w:qFormat/>
    <w:rPr>
      <w:rFonts w:ascii="OpenSymbol" w:hAnsi="OpenSymbol" w:eastAsia="OpenSymbol" w:cs="OpenSymbol"/>
    </w:rPr>
  </w:style>
  <w:style w:type="character" w:styleId="ListLabel3">
    <w:name w:val="ListLabel 3"/>
    <w:qFormat/>
    <w:rPr>
      <w:rFonts w:cs="Symbol"/>
    </w:rPr>
  </w:style>
  <w:style w:type="character" w:styleId="ListLabel30">
    <w:name w:val="ListLabel 30"/>
    <w:qFormat/>
    <w:rPr>
      <w:rFonts w:ascii="Liberation Sans" w:hAnsi="Liberation Sans" w:cs="Symbol"/>
      <w:b w:val="false"/>
      <w:sz w:val="18"/>
    </w:rPr>
  </w:style>
  <w:style w:type="character" w:styleId="ListLabel29">
    <w:name w:val="ListLabel 29"/>
    <w:qFormat/>
    <w:rPr>
      <w:rFonts w:cs="OpenSymbol"/>
    </w:rPr>
  </w:style>
  <w:style w:type="character" w:styleId="InternetLink">
    <w:name w:val="Internet Link"/>
    <w:basedOn w:val="DefaultParagraphFont"/>
    <w:rPr>
      <w:color w:val="0000FF"/>
      <w:u w:val="single"/>
      <w:lang w:val="zxx" w:eastAsia="zxx" w:bidi="zxx"/>
    </w:rPr>
  </w:style>
  <w:style w:type="character" w:styleId="ListLabel31">
    <w:name w:val="ListLabel 31"/>
    <w:qFormat/>
    <w:rPr>
      <w:rFonts w:cs="Symbol"/>
    </w:rPr>
  </w:style>
  <w:style w:type="character" w:styleId="ListLabel32">
    <w:name w:val="ListLabel 32"/>
    <w:qFormat/>
    <w:rPr>
      <w:rFonts w:ascii="Times New Roman" w:hAnsi="Times New Roman" w:cs="Symbol"/>
      <w:b w:val="false"/>
      <w:sz w:val="24"/>
    </w:rPr>
  </w:style>
  <w:style w:type="character" w:styleId="ListLabel33">
    <w:name w:val="ListLabel 33"/>
    <w:qFormat/>
    <w:rPr>
      <w:rFonts w:ascii="Times New Roman" w:hAnsi="Times New Roman" w:cs="OpenSymbol"/>
      <w:sz w:val="24"/>
    </w:rPr>
  </w:style>
  <w:style w:type="character" w:styleId="ListLabel34">
    <w:name w:val="ListLabel 34"/>
    <w:qFormat/>
    <w:rPr>
      <w:rFonts w:cs="Symbol"/>
    </w:rPr>
  </w:style>
  <w:style w:type="character" w:styleId="ListLabel35">
    <w:name w:val="ListLabel 35"/>
    <w:qFormat/>
    <w:rPr>
      <w:rFonts w:ascii="Times New Roman" w:hAnsi="Times New Roman" w:cs="Symbol"/>
      <w:b w:val="false"/>
      <w:sz w:val="24"/>
    </w:rPr>
  </w:style>
  <w:style w:type="character" w:styleId="ListLabel36">
    <w:name w:val="ListLabel 36"/>
    <w:qFormat/>
    <w:rPr>
      <w:rFonts w:ascii="Times New Roman" w:hAnsi="Times New Roman" w:cs="OpenSymbol"/>
      <w:sz w:val="24"/>
    </w:rPr>
  </w:style>
  <w:style w:type="character" w:styleId="IntenseReference">
    <w:name w:val="Intense Reference"/>
    <w:qFormat/>
    <w:rPr>
      <w:rFonts w:ascii="Verdana" w:hAnsi="Verdana" w:eastAsia="Times New Roman"/>
      <w:i/>
      <w:sz w:val="16"/>
      <w:szCs w:val="16"/>
    </w:rPr>
  </w:style>
  <w:style w:type="character" w:styleId="ListLabel45">
    <w:name w:val="ListLabel 45"/>
    <w:qFormat/>
    <w:rPr>
      <w:rFonts w:ascii="Liberation Sans" w:hAnsi="Liberation Sans" w:cs="Symbol"/>
      <w:b w:val="false"/>
      <w:sz w:val="18"/>
    </w:rPr>
  </w:style>
  <w:style w:type="character" w:styleId="ListLabel44">
    <w:name w:val="ListLabel 44"/>
    <w:qFormat/>
    <w:rPr>
      <w:rFonts w:cs="OpenSymbol"/>
    </w:rPr>
  </w:style>
  <w:style w:type="character" w:styleId="ListLabel46">
    <w:name w:val="ListLabel 46"/>
    <w:qFormat/>
    <w:rPr>
      <w:rFonts w:cs="Symbol"/>
    </w:rPr>
  </w:style>
  <w:style w:type="character" w:styleId="ListLabel47">
    <w:name w:val="ListLabel 47"/>
    <w:qFormat/>
    <w:rPr>
      <w:rFonts w:ascii="Times New Roman" w:hAnsi="Times New Roman" w:cs="Symbol"/>
      <w:b w:val="false"/>
      <w:sz w:val="24"/>
    </w:rPr>
  </w:style>
  <w:style w:type="character" w:styleId="ListLabel48">
    <w:name w:val="ListLabel 48"/>
    <w:qFormat/>
    <w:rPr>
      <w:rFonts w:ascii="Times New Roman" w:hAnsi="Times New Roman" w:cs="OpenSymbol"/>
      <w:sz w:val="24"/>
    </w:rPr>
  </w:style>
  <w:style w:type="character" w:styleId="ListLabel49">
    <w:name w:val="ListLabel 49"/>
    <w:qFormat/>
    <w:rPr>
      <w:rFonts w:cs="Symbol"/>
    </w:rPr>
  </w:style>
  <w:style w:type="character" w:styleId="ListLabel50">
    <w:name w:val="ListLabel 50"/>
    <w:qFormat/>
    <w:rPr>
      <w:rFonts w:ascii="Times New Roman" w:hAnsi="Times New Roman" w:cs="Symbol"/>
      <w:b w:val="false"/>
      <w:sz w:val="24"/>
    </w:rPr>
  </w:style>
  <w:style w:type="character" w:styleId="ListLabel51">
    <w:name w:val="ListLabel 51"/>
    <w:qFormat/>
    <w:rPr>
      <w:rFonts w:ascii="Times New Roman" w:hAnsi="Times New Roman" w:cs="OpenSymbol"/>
      <w:sz w:val="24"/>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rsid w:val="00d47f72"/>
    <w:pPr>
      <w:suppressLineNumbers/>
    </w:pPr>
    <w:rPr>
      <w:rFonts w:cs="FreeSans"/>
    </w:rPr>
  </w:style>
  <w:style w:type="paragraph" w:styleId="Titre" w:customStyle="1">
    <w:name w:val="Titre"/>
    <w:basedOn w:val="Normal"/>
    <w:qFormat/>
    <w:rsid w:val="00d47f72"/>
    <w:pPr>
      <w:keepNext/>
      <w:spacing w:before="240" w:after="120"/>
    </w:pPr>
    <w:rPr>
      <w:rFonts w:ascii="Arial" w:hAnsi="Arial" w:eastAsia="Droid Sans Fallback" w:cs="FreeSans"/>
      <w:sz w:val="28"/>
      <w:szCs w:val="28"/>
    </w:rPr>
  </w:style>
  <w:style w:type="paragraph" w:styleId="Corpsdetexte" w:customStyle="1">
    <w:name w:val="Corps de texte"/>
    <w:basedOn w:val="Normal"/>
    <w:qFormat/>
    <w:rsid w:val="00d47f72"/>
    <w:pPr>
      <w:spacing w:lineRule="auto" w:line="288" w:before="0" w:after="120"/>
    </w:pPr>
    <w:rPr/>
  </w:style>
  <w:style w:type="paragraph" w:styleId="Liste">
    <w:name w:val="Liste"/>
    <w:basedOn w:val="Corpsdetexte"/>
    <w:qFormat/>
    <w:rsid w:val="00d47f72"/>
    <w:pPr/>
    <w:rPr>
      <w:rFonts w:cs="FreeSans"/>
    </w:rPr>
  </w:style>
  <w:style w:type="paragraph" w:styleId="Lgende">
    <w:name w:val="Légende"/>
    <w:basedOn w:val="Normal"/>
    <w:qFormat/>
    <w:pPr>
      <w:suppressLineNumbers/>
      <w:spacing w:before="120" w:after="120"/>
    </w:pPr>
    <w:rPr>
      <w:rFonts w:cs="FreeSans"/>
      <w:i/>
      <w:iCs/>
      <w:sz w:val="24"/>
      <w:szCs w:val="24"/>
    </w:rPr>
  </w:style>
  <w:style w:type="paragraph" w:styleId="Caption1">
    <w:name w:val="caption"/>
    <w:basedOn w:val="Normal"/>
    <w:qFormat/>
    <w:rsid w:val="00d47f72"/>
    <w:pPr>
      <w:suppressLineNumbers/>
      <w:spacing w:before="120" w:after="120"/>
    </w:pPr>
    <w:rPr>
      <w:i/>
      <w:iCs/>
    </w:rPr>
  </w:style>
  <w:style w:type="paragraph" w:styleId="ListParagraph">
    <w:name w:val="List Paragraph"/>
    <w:basedOn w:val="Normal"/>
    <w:qFormat/>
    <w:rsid w:val="00d47f72"/>
    <w:pPr>
      <w:spacing w:before="0" w:after="200"/>
      <w:ind w:left="720" w:hanging="0"/>
      <w:contextualSpacing/>
    </w:pPr>
    <w:rPr>
      <w:rFonts w:cs="Mangal"/>
      <w:sz w:val="21"/>
      <w:szCs w:val="21"/>
    </w:rPr>
  </w:style>
  <w:style w:type="paragraph" w:styleId="NormalWeb">
    <w:name w:val="Normal (Web)"/>
    <w:basedOn w:val="Normal"/>
    <w:qFormat/>
    <w:pPr/>
    <w:rPr/>
  </w:style>
  <w:style w:type="numbering" w:styleId="NoList" w:default="1">
    <w:name w:val="No List"/>
    <w:uiPriority w:val="99"/>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cfi.be/nl/contents/jump?ctiext=099574-02" TargetMode="External"/><Relationship Id="rId3" Type="http://schemas.openxmlformats.org/officeDocument/2006/relationships/hyperlink" Target="http://www.bcfi.be/nl/contents/jump?ctiext=099574-02" TargetMode="External"/><Relationship Id="rId4" Type="http://schemas.openxmlformats.org/officeDocument/2006/relationships/hyperlink" Target="http://www.cbip.be/fr/contents/jump?ctiext=099574-02" TargetMode="External"/><Relationship Id="rId5" Type="http://schemas.openxmlformats.org/officeDocument/2006/relationships/hyperlink" Target="http://www.cbip.be/fr/contents/jump?ctiext=099574-02" TargetMode="External"/><Relationship Id="rId6" Type="http://schemas.openxmlformats.org/officeDocument/2006/relationships/hyperlink" Target="http://www.bcfi.be/nl/contents/jump?ctiext=099574-02&amp;view=pvt" TargetMode="External"/><Relationship Id="rId7" Type="http://schemas.openxmlformats.org/officeDocument/2006/relationships/hyperlink" Target="http://www.bcfi.be/nl/contents/jump?ctiext=099574-02&amp;view=pvt" TargetMode="External"/><Relationship Id="rId8" Type="http://schemas.openxmlformats.org/officeDocument/2006/relationships/hyperlink" Target="http://www.bcfi.be/nl/contents/jump?ctiext=099574-02&amp;view=pvt" TargetMode="External"/><Relationship Id="rId9" Type="http://schemas.openxmlformats.org/officeDocument/2006/relationships/hyperlink" Target="http://www.cbip.be/fr/contents/jump?ctiext=099574-02&amp;view=pvt" TargetMode="External"/><Relationship Id="rId10" Type="http://schemas.openxmlformats.org/officeDocument/2006/relationships/hyperlink" Target="http://www.cbip.be/fr/contents/jump?ctiext=099574-02&amp;view=pvt" TargetMode="External"/><Relationship Id="rId11" Type="http://schemas.openxmlformats.org/officeDocument/2006/relationships/hyperlink" Target="http://www.cbip.be/fr/contents/jump?ctiext=099574-02&amp;view=pvt" TargetMode="External"/><Relationship Id="rId12" Type="http://schemas.openxmlformats.org/officeDocument/2006/relationships/hyperlink" Target="http://www.bcfi.be/nl/contents/jump?cnk=0057257" TargetMode="External"/><Relationship Id="rId13" Type="http://schemas.openxmlformats.org/officeDocument/2006/relationships/hyperlink" Target="http://www.bcfi.be/nl/contents/jump?cnk=0057257" TargetMode="External"/><Relationship Id="rId14" Type="http://schemas.openxmlformats.org/officeDocument/2006/relationships/hyperlink" Target="http://www.cbip.be/fr/contents/jump?cnk=0057257" TargetMode="External"/><Relationship Id="rId15" Type="http://schemas.openxmlformats.org/officeDocument/2006/relationships/hyperlink" Target="http://www.cbip.be/fr/contents/jump?cnk=0057257" TargetMode="External"/><Relationship Id="rId16" Type="http://schemas.openxmlformats.org/officeDocument/2006/relationships/hyperlink" Target="http://www.bcfi.be/nl/contents/jump?cnk=0057257&amp;view=pvt" TargetMode="External"/><Relationship Id="rId17" Type="http://schemas.openxmlformats.org/officeDocument/2006/relationships/hyperlink" Target="http://www.bcfi.be/nl/contents/jump?cnk=0057257&amp;view=pvt" TargetMode="External"/><Relationship Id="rId18" Type="http://schemas.openxmlformats.org/officeDocument/2006/relationships/hyperlink" Target="http://www.bcfi.be/nl/contents/jump?cnk=0057257&amp;view=pvt" TargetMode="External"/><Relationship Id="rId19" Type="http://schemas.openxmlformats.org/officeDocument/2006/relationships/hyperlink" Target="https://daringfireball.net/projects/markdown/syntax" TargetMode="Externa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Application>LibreOffice/5.0.5.2$Linux_X86_64 LibreOffice_project/00m0$Build-2</Application>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2014-12-23T15:15:00Z</dcterms:created>
  <dc:creator>Karel Loof</dc:creator>
  <dc:language>fr-BE</dc:language>
  <dcterms:modified xsi:type="dcterms:W3CDTF">2016-04-07T19:23:45Z</dcterms:modified>
  <cp:revision>12</cp:revision>
</cp:coreProperties>
</file>